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22年驻马店高新区古城街道办事处</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单位预算基本情况说明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hint="eastAsia" w:ascii="黑体" w:hAnsi="黑体" w:eastAsia="黑体"/>
          <w:sz w:val="32"/>
          <w:szCs w:val="32"/>
        </w:rPr>
        <w:t>驻马店高新区古城街道办事处概况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hint="eastAsia" w:ascii="黑体" w:hAnsi="黑体" w:eastAsia="黑体"/>
          <w:sz w:val="32"/>
          <w:szCs w:val="32"/>
        </w:rPr>
        <w:t>驻马店高新区古城街道办事处</w:t>
      </w:r>
      <w:r>
        <w:rPr>
          <w:rFonts w:ascii="黑体" w:hAnsi="黑体" w:eastAsia="黑体" w:cs="黑体"/>
          <w:kern w:val="0"/>
          <w:sz w:val="32"/>
          <w:szCs w:val="32"/>
        </w:rPr>
        <w:t>20</w:t>
      </w:r>
      <w:r>
        <w:rPr>
          <w:rFonts w:hint="eastAsia" w:ascii="黑体" w:hAnsi="黑体" w:eastAsia="黑体" w:cs="黑体"/>
          <w:kern w:val="0"/>
          <w:sz w:val="32"/>
          <w:szCs w:val="32"/>
        </w:rPr>
        <w:t>22年度部门预算情况说明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七、政府性基金预算支出决算情况说明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w:t>
      </w:r>
      <w:r>
        <w:rPr>
          <w:rFonts w:hint="eastAsia" w:ascii="黑体" w:hAnsi="黑体" w:eastAsia="黑体"/>
          <w:sz w:val="32"/>
          <w:szCs w:val="32"/>
        </w:rPr>
        <w:t>驻马店高新区古城街道办事处</w:t>
      </w:r>
      <w:r>
        <w:rPr>
          <w:rFonts w:hint="eastAsia" w:ascii="黑体" w:eastAsia="黑体" w:cs="黑体"/>
          <w:sz w:val="32"/>
          <w:szCs w:val="32"/>
        </w:rPr>
        <w:t>2022年度部门预算表</w:t>
      </w:r>
    </w:p>
    <w:p>
      <w:pPr>
        <w:spacing w:line="600" w:lineRule="exact"/>
        <w:ind w:left="638" w:leftChars="304"/>
        <w:rPr>
          <w:rFonts w:hint="eastAsia" w:ascii="仿宋" w:hAnsi="仿宋" w:eastAsia="仿宋" w:cs="仿宋_GB2312"/>
          <w:kern w:val="0"/>
          <w:sz w:val="32"/>
          <w:szCs w:val="32"/>
        </w:rPr>
      </w:pPr>
      <w:r>
        <w:rPr>
          <w:rFonts w:hint="eastAsia" w:ascii="仿宋" w:hAnsi="仿宋" w:eastAsia="仿宋" w:cs="仿宋_GB2312"/>
          <w:kern w:val="0"/>
          <w:sz w:val="32"/>
          <w:szCs w:val="32"/>
        </w:rPr>
        <w:t>一、部门收支总体预算表</w:t>
      </w:r>
      <w:r>
        <w:rPr>
          <w:rFonts w:hint="eastAsia" w:ascii="仿宋" w:hAnsi="仿宋" w:eastAsia="仿宋" w:cs="仿宋_GB2312"/>
          <w:kern w:val="0"/>
          <w:sz w:val="32"/>
          <w:szCs w:val="32"/>
        </w:rPr>
        <w:cr/>
      </w:r>
      <w:r>
        <w:rPr>
          <w:rFonts w:hint="eastAsia" w:ascii="仿宋" w:hAnsi="仿宋" w:eastAsia="仿宋" w:cs="仿宋_GB2312"/>
          <w:kern w:val="0"/>
          <w:sz w:val="32"/>
          <w:szCs w:val="32"/>
        </w:rPr>
        <w:t>二、部门收入总体预算表</w:t>
      </w:r>
      <w:r>
        <w:rPr>
          <w:rFonts w:hint="eastAsia" w:ascii="仿宋" w:hAnsi="仿宋" w:eastAsia="仿宋" w:cs="仿宋_GB2312"/>
          <w:kern w:val="0"/>
          <w:sz w:val="32"/>
          <w:szCs w:val="32"/>
        </w:rPr>
        <w:cr/>
      </w:r>
      <w:r>
        <w:rPr>
          <w:rFonts w:hint="eastAsia" w:ascii="仿宋" w:hAnsi="仿宋" w:eastAsia="仿宋" w:cs="仿宋_GB2312"/>
          <w:kern w:val="0"/>
          <w:sz w:val="32"/>
          <w:szCs w:val="32"/>
        </w:rPr>
        <w:t>三、部门支出总体预算表</w:t>
      </w:r>
      <w:r>
        <w:rPr>
          <w:rFonts w:hint="eastAsia" w:ascii="仿宋" w:hAnsi="仿宋" w:eastAsia="仿宋" w:cs="仿宋_GB2312"/>
          <w:kern w:val="0"/>
          <w:sz w:val="32"/>
          <w:szCs w:val="32"/>
        </w:rPr>
        <w:cr/>
      </w:r>
      <w:r>
        <w:rPr>
          <w:rFonts w:hint="eastAsia" w:ascii="仿宋" w:hAnsi="仿宋" w:eastAsia="仿宋" w:cs="仿宋_GB2312"/>
          <w:kern w:val="0"/>
          <w:sz w:val="32"/>
          <w:szCs w:val="32"/>
        </w:rPr>
        <w:t>四、财政拨款收支总体预算表</w:t>
      </w:r>
      <w:r>
        <w:rPr>
          <w:rFonts w:hint="eastAsia" w:ascii="仿宋" w:hAnsi="仿宋" w:eastAsia="仿宋" w:cs="仿宋_GB2312"/>
          <w:kern w:val="0"/>
          <w:sz w:val="32"/>
          <w:szCs w:val="32"/>
        </w:rPr>
        <w:cr/>
      </w:r>
      <w:r>
        <w:rPr>
          <w:rFonts w:hint="eastAsia" w:ascii="仿宋" w:hAnsi="仿宋" w:eastAsia="仿宋" w:cs="仿宋_GB2312"/>
          <w:kern w:val="0"/>
          <w:sz w:val="32"/>
          <w:szCs w:val="32"/>
        </w:rPr>
        <w:t>五、一般公共预算支出预算表</w:t>
      </w:r>
      <w:r>
        <w:rPr>
          <w:rFonts w:hint="eastAsia" w:ascii="仿宋" w:hAnsi="仿宋" w:eastAsia="仿宋" w:cs="仿宋_GB2312"/>
          <w:kern w:val="0"/>
          <w:sz w:val="32"/>
          <w:szCs w:val="32"/>
        </w:rPr>
        <w:cr/>
      </w:r>
      <w:r>
        <w:rPr>
          <w:rFonts w:hint="eastAsia" w:ascii="仿宋" w:hAnsi="仿宋" w:eastAsia="仿宋" w:cs="仿宋_GB2312"/>
          <w:kern w:val="0"/>
          <w:sz w:val="32"/>
          <w:szCs w:val="32"/>
        </w:rPr>
        <w:t>六、一般公共预算基本支出表</w:t>
      </w:r>
      <w:r>
        <w:rPr>
          <w:rFonts w:hint="eastAsia" w:ascii="仿宋" w:hAnsi="仿宋" w:eastAsia="仿宋" w:cs="仿宋_GB2312"/>
          <w:kern w:val="0"/>
          <w:sz w:val="32"/>
          <w:szCs w:val="32"/>
        </w:rPr>
        <w:cr/>
      </w:r>
      <w:r>
        <w:rPr>
          <w:rFonts w:hint="eastAsia" w:ascii="仿宋" w:hAnsi="仿宋" w:eastAsia="仿宋" w:cs="仿宋_GB2312"/>
          <w:kern w:val="0"/>
          <w:sz w:val="32"/>
          <w:szCs w:val="32"/>
        </w:rPr>
        <w:t>七、支出经济分类汇总表</w:t>
      </w:r>
      <w:r>
        <w:rPr>
          <w:rFonts w:hint="eastAsia" w:ascii="仿宋" w:hAnsi="仿宋" w:eastAsia="仿宋" w:cs="仿宋_GB2312"/>
          <w:kern w:val="0"/>
          <w:sz w:val="32"/>
          <w:szCs w:val="32"/>
        </w:rPr>
        <w:cr/>
      </w:r>
      <w:r>
        <w:rPr>
          <w:rFonts w:hint="eastAsia" w:ascii="仿宋" w:hAnsi="仿宋" w:eastAsia="仿宋" w:cs="仿宋_GB2312"/>
          <w:kern w:val="0"/>
          <w:sz w:val="32"/>
          <w:szCs w:val="32"/>
        </w:rPr>
        <w:t>八、一般公共预算“三公”经费预算表</w:t>
      </w:r>
      <w:r>
        <w:rPr>
          <w:rFonts w:hint="eastAsia" w:ascii="仿宋" w:hAnsi="仿宋" w:eastAsia="仿宋" w:cs="仿宋_GB2312"/>
          <w:kern w:val="0"/>
          <w:sz w:val="32"/>
          <w:szCs w:val="32"/>
        </w:rPr>
        <w:cr/>
      </w:r>
      <w:r>
        <w:rPr>
          <w:rFonts w:hint="eastAsia" w:ascii="仿宋" w:hAnsi="仿宋" w:eastAsia="仿宋" w:cs="仿宋_GB2312"/>
          <w:kern w:val="0"/>
          <w:sz w:val="32"/>
          <w:szCs w:val="32"/>
        </w:rPr>
        <w:t>九、政府性基金预算支出预算表</w:t>
      </w:r>
      <w:r>
        <w:rPr>
          <w:rFonts w:hint="eastAsia" w:ascii="仿宋" w:hAnsi="仿宋" w:eastAsia="仿宋" w:cs="仿宋_GB2312"/>
          <w:kern w:val="0"/>
          <w:sz w:val="32"/>
          <w:szCs w:val="32"/>
        </w:rPr>
        <w:cr/>
      </w:r>
      <w:r>
        <w:rPr>
          <w:rFonts w:hint="eastAsia" w:ascii="仿宋" w:hAnsi="仿宋" w:eastAsia="仿宋" w:cs="仿宋_GB2312"/>
          <w:kern w:val="0"/>
          <w:sz w:val="32"/>
          <w:szCs w:val="32"/>
        </w:rPr>
        <w:t>十、项目支出预算表</w:t>
      </w:r>
      <w:r>
        <w:rPr>
          <w:rFonts w:hint="eastAsia" w:ascii="仿宋" w:hAnsi="仿宋" w:eastAsia="仿宋" w:cs="仿宋_GB2312"/>
          <w:kern w:val="0"/>
          <w:sz w:val="32"/>
          <w:szCs w:val="32"/>
        </w:rPr>
        <w:cr/>
      </w:r>
      <w:r>
        <w:rPr>
          <w:rFonts w:hint="eastAsia" w:ascii="仿宋" w:hAnsi="仿宋" w:eastAsia="仿宋" w:cs="仿宋_GB2312"/>
          <w:kern w:val="0"/>
          <w:sz w:val="32"/>
          <w:szCs w:val="32"/>
        </w:rPr>
        <w:t>十一、市级部门（单位）整体绩效目标表</w:t>
      </w:r>
      <w:r>
        <w:rPr>
          <w:rFonts w:hint="eastAsia" w:ascii="仿宋" w:hAnsi="仿宋" w:eastAsia="仿宋" w:cs="仿宋_GB2312"/>
          <w:kern w:val="0"/>
          <w:sz w:val="32"/>
          <w:szCs w:val="32"/>
        </w:rPr>
        <w:cr/>
      </w:r>
    </w:p>
    <w:p>
      <w:pPr>
        <w:spacing w:line="600" w:lineRule="exact"/>
        <w:ind w:left="638" w:leftChars="304"/>
        <w:rPr>
          <w:rFonts w:ascii="仿宋" w:hAnsi="仿宋" w:eastAsia="仿宋" w:cs="仿宋_GB2312"/>
          <w:kern w:val="0"/>
          <w:sz w:val="32"/>
          <w:szCs w:val="32"/>
        </w:rPr>
      </w:pPr>
    </w:p>
    <w:p>
      <w:pPr>
        <w:spacing w:line="600" w:lineRule="exact"/>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rPr>
        <w:cr/>
      </w:r>
    </w:p>
    <w:p>
      <w:pPr>
        <w:spacing w:line="600" w:lineRule="exact"/>
        <w:rPr>
          <w:rFonts w:hint="eastAsia" w:ascii="仿宋" w:hAnsi="仿宋" w:eastAsia="仿宋" w:cs="仿宋_GB2312"/>
          <w:kern w:val="0"/>
          <w:sz w:val="32"/>
          <w:szCs w:val="32"/>
        </w:rPr>
      </w:pPr>
    </w:p>
    <w:p>
      <w:pPr>
        <w:spacing w:line="600" w:lineRule="exact"/>
        <w:rPr>
          <w:rFonts w:hint="eastAsia" w:ascii="仿宋" w:hAnsi="仿宋" w:eastAsia="仿宋" w:cs="仿宋_GB2312"/>
          <w:kern w:val="0"/>
          <w:sz w:val="32"/>
          <w:szCs w:val="32"/>
        </w:rPr>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pPr>
      <w:r>
        <w:rPr>
          <w:rFonts w:hint="eastAsia" w:ascii="黑体" w:hAnsi="黑体" w:eastAsia="黑体"/>
          <w:sz w:val="36"/>
          <w:szCs w:val="36"/>
        </w:rPr>
        <w:t>驻马店高新区古城街道办事处概况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一、驻马店高新区古城街道办事处主要职能</w:t>
      </w:r>
    </w:p>
    <w:p>
      <w:pPr>
        <w:widowControl/>
        <w:shd w:val="clear" w:color="auto" w:fill="FFFFFF"/>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驻马店高新区古城街道办事处为驻马店市产业集聚区管理委员会下属机构，区划调整于2017年1月，位于市中心城区东南部，正科级规格，主要职能是负责古城辖区行政管理和社会事务服务工作。</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二、驻马店高新区古城街道办事处机构设置及预算单位构成</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驻马店高新区古城街道办事处内设10个职能所站，分别为：社保所、便民服务中心、财政所、社会治安综合管理中心、经济发展服务中心、综合执法中队、精神文明实践中心、社会事务服务中心、退役军人服务站、街道社区服务中心。下设8个社区：古城社区、李湾社区、朱楼寨社区、洪沟庙社区、马园社区、大余庄社区、吴桂桥社区、张教庄社区。本公开为驻马店高新区古城街道办事处</w:t>
      </w:r>
      <w:r>
        <w:rPr>
          <w:rFonts w:hint="eastAsia" w:ascii="仿宋" w:hAnsi="仿宋" w:eastAsia="仿宋" w:cs="仿宋_GB2312"/>
          <w:kern w:val="0"/>
          <w:sz w:val="32"/>
          <w:szCs w:val="32"/>
        </w:rPr>
        <w:t>本级预算。</w:t>
      </w:r>
    </w:p>
    <w:p>
      <w:pPr>
        <w:widowControl/>
        <w:numPr>
          <w:ilvl w:val="0"/>
          <w:numId w:val="1"/>
        </w:numPr>
        <w:ind w:firstLine="640" w:firstLineChars="200"/>
        <w:jc w:val="left"/>
        <w:rPr>
          <w:rFonts w:ascii="仿宋_GB2312" w:hAnsi="仿宋_GB2312" w:eastAsia="仿宋_GB2312" w:cs="仿宋_GB2312"/>
          <w:kern w:val="0"/>
          <w:sz w:val="32"/>
          <w:szCs w:val="32"/>
        </w:rPr>
      </w:pPr>
      <w:r>
        <w:rPr>
          <w:rFonts w:hint="eastAsia" w:ascii="仿宋_GB2312" w:hAnsi="仿宋" w:eastAsia="仿宋_GB2312"/>
          <w:sz w:val="32"/>
          <w:szCs w:val="32"/>
        </w:rPr>
        <w:t>驻马店市产业集聚区古城街道办事处</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黑体"/>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驻马店高新区古城街道办事处</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20</w:t>
      </w:r>
      <w:r>
        <w:rPr>
          <w:rFonts w:hint="eastAsia" w:ascii="黑体" w:hAnsi="黑体" w:eastAsia="黑体" w:cs="黑体"/>
          <w:kern w:val="0"/>
          <w:sz w:val="36"/>
          <w:szCs w:val="36"/>
        </w:rPr>
        <w:t>22年度部门预算情况说明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_GB2312" w:hAnsi="仿宋" w:eastAsia="仿宋_GB2312"/>
          <w:sz w:val="32"/>
          <w:szCs w:val="32"/>
        </w:rPr>
        <w:t>驻马店高新区古城街道办事处</w:t>
      </w:r>
      <w:r>
        <w:rPr>
          <w:rFonts w:ascii="仿宋" w:hAnsi="仿宋" w:eastAsia="仿宋" w:cs="仿宋_GB2312"/>
          <w:color w:val="000000"/>
          <w:sz w:val="32"/>
          <w:szCs w:val="32"/>
        </w:rPr>
        <w:t>202</w:t>
      </w:r>
      <w:r>
        <w:rPr>
          <w:rFonts w:hint="eastAsia" w:ascii="仿宋" w:hAnsi="仿宋" w:eastAsia="仿宋" w:cs="仿宋_GB2312"/>
          <w:color w:val="000000"/>
          <w:sz w:val="32"/>
          <w:szCs w:val="32"/>
        </w:rPr>
        <w:t>2年收入总计2013万元，支出总计2013万元，与2021年预算相比，收、支总计持平。</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_GB2312" w:hAnsi="仿宋" w:eastAsia="仿宋_GB2312"/>
          <w:sz w:val="32"/>
          <w:szCs w:val="32"/>
        </w:rPr>
        <w:t>驻马店高新区古城街道办事处</w:t>
      </w:r>
      <w:r>
        <w:rPr>
          <w:rFonts w:eastAsia="仿宋"/>
          <w:sz w:val="32"/>
          <w:szCs w:val="32"/>
        </w:rPr>
        <w:t>  </w:t>
      </w:r>
      <w:r>
        <w:rPr>
          <w:rFonts w:ascii="仿宋" w:hAnsi="仿宋" w:eastAsia="仿宋"/>
          <w:sz w:val="32"/>
          <w:szCs w:val="32"/>
        </w:rPr>
        <w:t>202</w:t>
      </w:r>
      <w:r>
        <w:rPr>
          <w:rFonts w:hint="eastAsia" w:ascii="仿宋" w:hAnsi="仿宋" w:eastAsia="仿宋"/>
          <w:sz w:val="32"/>
          <w:szCs w:val="32"/>
        </w:rPr>
        <w:t>2年收入合计</w:t>
      </w:r>
      <w:r>
        <w:rPr>
          <w:rFonts w:hint="eastAsia" w:ascii="仿宋" w:hAnsi="仿宋" w:eastAsia="仿宋" w:cs="仿宋_GB2312"/>
          <w:color w:val="000000"/>
          <w:sz w:val="32"/>
          <w:szCs w:val="32"/>
        </w:rPr>
        <w:t>2013</w:t>
      </w:r>
      <w:r>
        <w:rPr>
          <w:rFonts w:hint="eastAsia" w:ascii="仿宋" w:hAnsi="仿宋" w:eastAsia="仿宋"/>
          <w:sz w:val="32"/>
          <w:szCs w:val="32"/>
        </w:rPr>
        <w:t>万元。其中：一般公共预算收入2013万元。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_GB2312" w:hAnsi="仿宋" w:eastAsia="仿宋_GB2312"/>
          <w:sz w:val="32"/>
          <w:szCs w:val="32"/>
        </w:rPr>
        <w:t>驻马店高新区古城街道办事处</w:t>
      </w:r>
      <w:r>
        <w:rPr>
          <w:rFonts w:ascii="仿宋" w:hAnsi="仿宋" w:eastAsia="仿宋"/>
          <w:sz w:val="32"/>
          <w:szCs w:val="32"/>
        </w:rPr>
        <w:t>202</w:t>
      </w:r>
      <w:r>
        <w:rPr>
          <w:rFonts w:hint="eastAsia" w:ascii="仿宋" w:hAnsi="仿宋" w:eastAsia="仿宋"/>
          <w:sz w:val="32"/>
          <w:szCs w:val="32"/>
        </w:rPr>
        <w:t>2年支出合计</w:t>
      </w:r>
      <w:r>
        <w:rPr>
          <w:rFonts w:hint="eastAsia" w:ascii="仿宋" w:hAnsi="仿宋" w:eastAsia="仿宋" w:cs="仿宋_GB2312"/>
          <w:color w:val="000000"/>
          <w:sz w:val="32"/>
          <w:szCs w:val="32"/>
        </w:rPr>
        <w:t>2013</w:t>
      </w:r>
      <w:r>
        <w:rPr>
          <w:rFonts w:hint="eastAsia" w:ascii="仿宋" w:hAnsi="仿宋" w:eastAsia="仿宋"/>
          <w:sz w:val="32"/>
          <w:szCs w:val="32"/>
        </w:rPr>
        <w:t>万元，其中：基本支出932.8万元，占46</w:t>
      </w:r>
      <w:r>
        <w:rPr>
          <w:rFonts w:ascii="仿宋" w:hAnsi="仿宋" w:eastAsia="仿宋"/>
          <w:sz w:val="32"/>
          <w:szCs w:val="32"/>
        </w:rPr>
        <w:t>%</w:t>
      </w:r>
      <w:r>
        <w:rPr>
          <w:rFonts w:hint="eastAsia" w:ascii="仿宋" w:hAnsi="仿宋" w:eastAsia="仿宋"/>
          <w:sz w:val="32"/>
          <w:szCs w:val="32"/>
        </w:rPr>
        <w:t>；项目支出1080.1万元，占54</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_GB2312" w:hAnsi="仿宋" w:eastAsia="仿宋_GB2312"/>
          <w:sz w:val="32"/>
          <w:szCs w:val="32"/>
        </w:rPr>
        <w:t>驻马店高新区古城街道办事处</w:t>
      </w:r>
      <w:r>
        <w:rPr>
          <w:rFonts w:ascii="仿宋" w:hAnsi="仿宋" w:eastAsia="仿宋" w:cs="仿宋_GB2312"/>
          <w:sz w:val="32"/>
          <w:szCs w:val="32"/>
        </w:rPr>
        <w:t>202</w:t>
      </w:r>
      <w:r>
        <w:rPr>
          <w:rFonts w:hint="eastAsia" w:ascii="仿宋" w:hAnsi="仿宋" w:eastAsia="仿宋" w:cs="仿宋_GB2312"/>
          <w:sz w:val="32"/>
          <w:szCs w:val="32"/>
        </w:rPr>
        <w:t>2</w:t>
      </w:r>
      <w:r>
        <w:rPr>
          <w:rFonts w:hint="eastAsia" w:ascii="仿宋" w:hAnsi="仿宋" w:eastAsia="仿宋" w:cs="仿宋_GB2312"/>
          <w:color w:val="000000"/>
          <w:sz w:val="32"/>
          <w:szCs w:val="32"/>
        </w:rPr>
        <w:t>年一般公共预算收支预算</w:t>
      </w:r>
      <w:r>
        <w:rPr>
          <w:rFonts w:hint="eastAsia" w:ascii="仿宋" w:hAnsi="仿宋" w:eastAsia="仿宋"/>
          <w:sz w:val="32"/>
          <w:szCs w:val="32"/>
        </w:rPr>
        <w:t>2013</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21年相比，一般公共预算收支预算持平。</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_GB2312" w:hAnsi="仿宋" w:eastAsia="仿宋_GB2312"/>
          <w:sz w:val="32"/>
          <w:szCs w:val="32"/>
        </w:rPr>
        <w:t>驻马店高新区古城街道办事处</w:t>
      </w:r>
      <w:r>
        <w:rPr>
          <w:rFonts w:ascii="仿宋" w:hAnsi="仿宋" w:eastAsia="仿宋" w:cs="仿宋_GB2312"/>
          <w:color w:val="333333"/>
          <w:sz w:val="32"/>
          <w:szCs w:val="32"/>
        </w:rPr>
        <w:t>202</w:t>
      </w:r>
      <w:r>
        <w:rPr>
          <w:rFonts w:hint="eastAsia" w:ascii="仿宋" w:hAnsi="仿宋" w:eastAsia="仿宋" w:cs="仿宋_GB2312"/>
          <w:color w:val="333333"/>
          <w:sz w:val="32"/>
          <w:szCs w:val="32"/>
        </w:rPr>
        <w:t>2年一般公共预算支出年初预算为</w:t>
      </w:r>
      <w:r>
        <w:rPr>
          <w:rFonts w:hint="eastAsia" w:ascii="仿宋" w:hAnsi="仿宋" w:eastAsia="仿宋"/>
          <w:sz w:val="32"/>
          <w:szCs w:val="32"/>
        </w:rPr>
        <w:t>2013</w:t>
      </w:r>
      <w:r>
        <w:rPr>
          <w:rFonts w:hint="eastAsia" w:ascii="仿宋" w:hAnsi="仿宋" w:eastAsia="仿宋" w:cs="仿宋_GB2312"/>
          <w:color w:val="000000"/>
          <w:sz w:val="32"/>
          <w:szCs w:val="32"/>
        </w:rPr>
        <w:t>万元。主要用于以下方面：一般公共服务（类）支出1753.5万元，占87</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；社会保障和就业支出154.5万元，占8</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；卫生健康支出62.6万元，占3</w:t>
      </w:r>
      <w:r>
        <w:rPr>
          <w:rFonts w:ascii="仿宋" w:hAnsi="仿宋" w:eastAsia="仿宋" w:cs="仿宋_GB2312"/>
          <w:color w:val="000000"/>
          <w:sz w:val="32"/>
          <w:szCs w:val="32"/>
        </w:rPr>
        <w:t>%</w:t>
      </w:r>
      <w:r>
        <w:rPr>
          <w:rFonts w:hint="eastAsia" w:ascii="仿宋" w:hAnsi="仿宋" w:eastAsia="仿宋" w:cs="仿宋_GB2312"/>
          <w:color w:val="000000"/>
          <w:sz w:val="32"/>
          <w:szCs w:val="32"/>
        </w:rPr>
        <w:t>；占住房保障支出42.3万元，占2</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2022年一般公共预算基本支出932.84万元，其中：人员经费851.66万元，主要包括：基本工资、津贴补贴、奖金、其他社会保障缴费、绩效工资、机关事业单位基本养老保险缴费、职业年金缴费、其他工资福利支出、离休费、退休费、医疗费、住房公积金、采暖补贴、物业服务补贴、其他对个人和家庭的补助支出；公用经费81.18万元，主要包括：福利费、其他交通费用、工会经费、办公费、其他商品和服务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七、政府性基金预算支出决算情况说明</w:t>
      </w:r>
    </w:p>
    <w:p>
      <w:pPr>
        <w:spacing w:line="600" w:lineRule="exact"/>
        <w:ind w:firstLine="640" w:firstLineChars="200"/>
        <w:rPr>
          <w:rFonts w:ascii="仿宋_GB2312" w:hAnsi="宋体" w:eastAsia="仿宋_GB2312" w:cs="Courier New"/>
          <w:sz w:val="32"/>
          <w:szCs w:val="32"/>
        </w:rPr>
      </w:pPr>
      <w:r>
        <w:rPr>
          <w:rFonts w:hint="eastAsia" w:ascii="仿宋_GB2312" w:hAnsi="仿宋" w:eastAsia="仿宋_GB2312"/>
          <w:sz w:val="32"/>
          <w:szCs w:val="32"/>
        </w:rPr>
        <w:t>无该项支出。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_GB2312" w:hAnsi="宋体" w:eastAsia="仿宋_GB2312" w:cs="Courier New"/>
          <w:sz w:val="32"/>
          <w:szCs w:val="32"/>
        </w:rPr>
      </w:pPr>
      <w:r>
        <w:rPr>
          <w:rFonts w:hint="eastAsia" w:ascii="仿宋_GB2312" w:hAnsi="仿宋" w:eastAsia="仿宋_GB2312"/>
          <w:sz w:val="32"/>
          <w:szCs w:val="32"/>
        </w:rPr>
        <w:t>无该项支出。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（一）机关（事业）单位机构运转经费支出情况</w:t>
      </w:r>
    </w:p>
    <w:p>
      <w:pPr>
        <w:spacing w:line="600" w:lineRule="exact"/>
        <w:ind w:firstLine="640" w:firstLineChars="200"/>
        <w:rPr>
          <w:rFonts w:ascii="仿宋" w:hAnsi="仿宋" w:eastAsia="仿宋"/>
          <w:sz w:val="32"/>
          <w:szCs w:val="32"/>
        </w:rPr>
      </w:pPr>
      <w:r>
        <w:rPr>
          <w:rFonts w:hint="eastAsia" w:ascii="仿宋_GB2312" w:hAnsi="仿宋" w:eastAsia="仿宋_GB2312"/>
          <w:sz w:val="32"/>
          <w:szCs w:val="32"/>
        </w:rPr>
        <w:t>驻马店高新区古城街道办事处</w:t>
      </w:r>
      <w:r>
        <w:rPr>
          <w:rFonts w:ascii="仿宋" w:hAnsi="仿宋" w:eastAsia="仿宋"/>
          <w:sz w:val="32"/>
          <w:szCs w:val="32"/>
        </w:rPr>
        <w:t>202</w:t>
      </w:r>
      <w:r>
        <w:rPr>
          <w:rFonts w:hint="eastAsia" w:ascii="仿宋" w:hAnsi="仿宋" w:eastAsia="仿宋"/>
          <w:sz w:val="32"/>
          <w:szCs w:val="32"/>
        </w:rPr>
        <w:t>2年机关运行经费支出预算为1080.1万元，主要保障单位行政职能实现的正常运转。</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2年政府采购预算安排1050万元，其中：政府采购工程预算122万元，政府采购货物预算398万元，政府采购服务预算530万元。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_GB2312" w:hAnsi="仿宋" w:eastAsia="仿宋_GB2312"/>
          <w:sz w:val="32"/>
          <w:szCs w:val="32"/>
        </w:rPr>
        <w:t>驻马店高新区古城街道办事处</w:t>
      </w:r>
      <w:r>
        <w:rPr>
          <w:rFonts w:hint="eastAsia" w:ascii="仿宋" w:hAnsi="仿宋" w:eastAsia="仿宋"/>
          <w:sz w:val="32"/>
          <w:szCs w:val="32"/>
        </w:rPr>
        <w:t>2022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21年期末，</w:t>
      </w:r>
      <w:r>
        <w:rPr>
          <w:rFonts w:hint="eastAsia" w:ascii="仿宋_GB2312" w:hAnsi="仿宋" w:eastAsia="仿宋_GB2312"/>
          <w:sz w:val="32"/>
          <w:szCs w:val="32"/>
        </w:rPr>
        <w:t>驻马店高新区古城街道办事处</w:t>
      </w:r>
      <w:r>
        <w:rPr>
          <w:rFonts w:hint="eastAsia" w:ascii="仿宋" w:hAnsi="仿宋" w:eastAsia="仿宋"/>
          <w:sz w:val="32"/>
          <w:szCs w:val="32"/>
        </w:rPr>
        <w:t>共有电动四轮车3辆（电动黄牌），共计12万。综治监控系统1套15.7万。单价</w:t>
      </w:r>
      <w:r>
        <w:rPr>
          <w:rFonts w:ascii="仿宋" w:hAnsi="仿宋" w:eastAsia="仿宋"/>
          <w:sz w:val="32"/>
          <w:szCs w:val="32"/>
        </w:rPr>
        <w:t>50</w:t>
      </w:r>
      <w:r>
        <w:rPr>
          <w:rFonts w:hint="eastAsia" w:ascii="仿宋" w:hAnsi="仿宋" w:eastAsia="仿宋"/>
          <w:sz w:val="32"/>
          <w:szCs w:val="32"/>
        </w:rPr>
        <w:t>万元以上通用设备0套，单位价值100万以上专用设备0套。</w:t>
      </w:r>
    </w:p>
    <w:p>
      <w:pPr>
        <w:spacing w:line="360" w:lineRule="auto"/>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_GB2312" w:hAnsi="宋体" w:eastAsia="仿宋_GB2312" w:cs="Courier New"/>
          <w:sz w:val="32"/>
          <w:szCs w:val="32"/>
        </w:rPr>
      </w:pPr>
      <w:r>
        <w:rPr>
          <w:rFonts w:hint="eastAsia" w:ascii="仿宋_GB2312" w:hAnsi="仿宋" w:eastAsia="仿宋_GB2312"/>
          <w:sz w:val="32"/>
          <w:szCs w:val="32"/>
        </w:rPr>
        <w:t>无该项支出。</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left"/>
        <w:rPr>
          <w:rFonts w:ascii="黑体" w:hAnsi="黑体" w:eastAsia="黑体" w:cs="黑体"/>
          <w:sz w:val="32"/>
          <w:szCs w:val="32"/>
        </w:rPr>
      </w:pPr>
      <w:r>
        <w:rPr>
          <w:rFonts w:hint="eastAsia" w:ascii="黑体" w:hAnsi="黑体" w:eastAsia="黑体" w:cs="黑体"/>
          <w:sz w:val="32"/>
          <w:szCs w:val="32"/>
        </w:rPr>
        <w:t>驻马店高新区古城街道办事处</w:t>
      </w:r>
    </w:p>
    <w:p>
      <w:pPr>
        <w:adjustRightInd w:val="0"/>
        <w:snapToGrid w:val="0"/>
        <w:spacing w:line="600" w:lineRule="exact"/>
        <w:jc w:val="left"/>
        <w:rPr>
          <w:rFonts w:ascii="黑体" w:hAnsi="黑体" w:eastAsia="黑体" w:cs="Times New Roman"/>
          <w:sz w:val="32"/>
          <w:szCs w:val="32"/>
        </w:rPr>
      </w:pPr>
      <w:r>
        <w:rPr>
          <w:rFonts w:ascii="黑体" w:hAnsi="黑体" w:eastAsia="黑体" w:cs="黑体"/>
          <w:sz w:val="32"/>
          <w:szCs w:val="32"/>
        </w:rPr>
        <w:t>20</w:t>
      </w:r>
      <w:r>
        <w:rPr>
          <w:rFonts w:hint="eastAsia" w:ascii="黑体" w:hAnsi="黑体" w:eastAsia="黑体" w:cs="黑体"/>
          <w:sz w:val="32"/>
          <w:szCs w:val="32"/>
        </w:rPr>
        <w:t>22年度部门预算表</w:t>
      </w:r>
    </w:p>
    <w:p>
      <w:pPr>
        <w:spacing w:line="600" w:lineRule="exact"/>
      </w:pPr>
      <w:bookmarkStart w:id="0" w:name="_GoBack"/>
      <w:bookmarkEnd w:id="0"/>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5523CE"/>
    <w:multiLevelType w:val="singleLevel"/>
    <w:tmpl w:val="5B5523C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ZDkzOTZkMzVmZmVlMThmNDJiMDljYjU0ZDc2NzVlMjkifQ=="/>
  </w:docVars>
  <w:rsids>
    <w:rsidRoot w:val="00DB6E0A"/>
    <w:rsid w:val="00024F6B"/>
    <w:rsid w:val="00046304"/>
    <w:rsid w:val="000565E0"/>
    <w:rsid w:val="000619DD"/>
    <w:rsid w:val="000774BF"/>
    <w:rsid w:val="00081A39"/>
    <w:rsid w:val="00082E97"/>
    <w:rsid w:val="0008703F"/>
    <w:rsid w:val="00092293"/>
    <w:rsid w:val="000A57D3"/>
    <w:rsid w:val="000A793C"/>
    <w:rsid w:val="000B16E9"/>
    <w:rsid w:val="000B2C71"/>
    <w:rsid w:val="000C5AD2"/>
    <w:rsid w:val="000D2EF0"/>
    <w:rsid w:val="000E1E98"/>
    <w:rsid w:val="000F00F0"/>
    <w:rsid w:val="000F07CF"/>
    <w:rsid w:val="00103B01"/>
    <w:rsid w:val="00130D39"/>
    <w:rsid w:val="00132510"/>
    <w:rsid w:val="00135319"/>
    <w:rsid w:val="001538BE"/>
    <w:rsid w:val="00157DC9"/>
    <w:rsid w:val="00164490"/>
    <w:rsid w:val="0016485B"/>
    <w:rsid w:val="00173F26"/>
    <w:rsid w:val="00174BB7"/>
    <w:rsid w:val="00197F39"/>
    <w:rsid w:val="001D3474"/>
    <w:rsid w:val="001F0097"/>
    <w:rsid w:val="001F0DC7"/>
    <w:rsid w:val="001F3EA8"/>
    <w:rsid w:val="0023205C"/>
    <w:rsid w:val="00232464"/>
    <w:rsid w:val="00254997"/>
    <w:rsid w:val="00266DB0"/>
    <w:rsid w:val="00267A52"/>
    <w:rsid w:val="00277F07"/>
    <w:rsid w:val="00281F39"/>
    <w:rsid w:val="00282C62"/>
    <w:rsid w:val="002A5C59"/>
    <w:rsid w:val="002C63F2"/>
    <w:rsid w:val="00313C25"/>
    <w:rsid w:val="00321C62"/>
    <w:rsid w:val="00322205"/>
    <w:rsid w:val="00357CD3"/>
    <w:rsid w:val="0036405E"/>
    <w:rsid w:val="00375A8F"/>
    <w:rsid w:val="00380842"/>
    <w:rsid w:val="00394026"/>
    <w:rsid w:val="003B307C"/>
    <w:rsid w:val="003D2251"/>
    <w:rsid w:val="003D4DA1"/>
    <w:rsid w:val="003F281A"/>
    <w:rsid w:val="003F6526"/>
    <w:rsid w:val="003F6FA5"/>
    <w:rsid w:val="00402A63"/>
    <w:rsid w:val="004059A2"/>
    <w:rsid w:val="00413874"/>
    <w:rsid w:val="0041494C"/>
    <w:rsid w:val="00425830"/>
    <w:rsid w:val="004402A9"/>
    <w:rsid w:val="00440E08"/>
    <w:rsid w:val="0044221E"/>
    <w:rsid w:val="00445854"/>
    <w:rsid w:val="004523F4"/>
    <w:rsid w:val="0047422F"/>
    <w:rsid w:val="00475A3F"/>
    <w:rsid w:val="00485E69"/>
    <w:rsid w:val="00486CF5"/>
    <w:rsid w:val="00495029"/>
    <w:rsid w:val="004A7AFC"/>
    <w:rsid w:val="004B1C7F"/>
    <w:rsid w:val="004B2AB1"/>
    <w:rsid w:val="004B5AC1"/>
    <w:rsid w:val="004D02D6"/>
    <w:rsid w:val="004D3E72"/>
    <w:rsid w:val="004E25A6"/>
    <w:rsid w:val="00517F70"/>
    <w:rsid w:val="00520079"/>
    <w:rsid w:val="00520C68"/>
    <w:rsid w:val="005458CE"/>
    <w:rsid w:val="00547FA8"/>
    <w:rsid w:val="005653F6"/>
    <w:rsid w:val="00574E19"/>
    <w:rsid w:val="00593ACE"/>
    <w:rsid w:val="00594B0A"/>
    <w:rsid w:val="005A7D02"/>
    <w:rsid w:val="005C73B8"/>
    <w:rsid w:val="005D3103"/>
    <w:rsid w:val="005D5B52"/>
    <w:rsid w:val="00624C7A"/>
    <w:rsid w:val="00655743"/>
    <w:rsid w:val="00660C03"/>
    <w:rsid w:val="00676BA6"/>
    <w:rsid w:val="00680215"/>
    <w:rsid w:val="00691D56"/>
    <w:rsid w:val="00697E78"/>
    <w:rsid w:val="006A220B"/>
    <w:rsid w:val="006B3606"/>
    <w:rsid w:val="006B3FE3"/>
    <w:rsid w:val="00700239"/>
    <w:rsid w:val="00700B9A"/>
    <w:rsid w:val="007063BE"/>
    <w:rsid w:val="007136D4"/>
    <w:rsid w:val="00737C3B"/>
    <w:rsid w:val="00737D89"/>
    <w:rsid w:val="00755247"/>
    <w:rsid w:val="0076118A"/>
    <w:rsid w:val="007909C4"/>
    <w:rsid w:val="00791B9D"/>
    <w:rsid w:val="007922C8"/>
    <w:rsid w:val="007A040A"/>
    <w:rsid w:val="007A1EEB"/>
    <w:rsid w:val="007B4386"/>
    <w:rsid w:val="007C4980"/>
    <w:rsid w:val="007D4A49"/>
    <w:rsid w:val="007D7A4A"/>
    <w:rsid w:val="007E0369"/>
    <w:rsid w:val="007E6EE0"/>
    <w:rsid w:val="007F5A12"/>
    <w:rsid w:val="00804982"/>
    <w:rsid w:val="00855C83"/>
    <w:rsid w:val="0086203B"/>
    <w:rsid w:val="0087679C"/>
    <w:rsid w:val="008803FE"/>
    <w:rsid w:val="00882505"/>
    <w:rsid w:val="008A14DB"/>
    <w:rsid w:val="008A2A42"/>
    <w:rsid w:val="008B58F3"/>
    <w:rsid w:val="008B63CD"/>
    <w:rsid w:val="008C6D08"/>
    <w:rsid w:val="008D1B9C"/>
    <w:rsid w:val="008D5A65"/>
    <w:rsid w:val="008E42E5"/>
    <w:rsid w:val="008F0447"/>
    <w:rsid w:val="008F3BA6"/>
    <w:rsid w:val="00912829"/>
    <w:rsid w:val="00914D64"/>
    <w:rsid w:val="00926A33"/>
    <w:rsid w:val="00937492"/>
    <w:rsid w:val="009507BF"/>
    <w:rsid w:val="009574C3"/>
    <w:rsid w:val="0096347A"/>
    <w:rsid w:val="00965F4F"/>
    <w:rsid w:val="00987F87"/>
    <w:rsid w:val="0099182F"/>
    <w:rsid w:val="009B17AE"/>
    <w:rsid w:val="009B1DCD"/>
    <w:rsid w:val="009C62BB"/>
    <w:rsid w:val="00A0087B"/>
    <w:rsid w:val="00A0547F"/>
    <w:rsid w:val="00A111CB"/>
    <w:rsid w:val="00A51477"/>
    <w:rsid w:val="00A6587F"/>
    <w:rsid w:val="00A75D9C"/>
    <w:rsid w:val="00A83E1B"/>
    <w:rsid w:val="00AA09FD"/>
    <w:rsid w:val="00AB26EC"/>
    <w:rsid w:val="00AE18EF"/>
    <w:rsid w:val="00B01353"/>
    <w:rsid w:val="00B02CDE"/>
    <w:rsid w:val="00B16384"/>
    <w:rsid w:val="00B32090"/>
    <w:rsid w:val="00B35C03"/>
    <w:rsid w:val="00B556DC"/>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000B"/>
    <w:rsid w:val="00C92BD6"/>
    <w:rsid w:val="00C961DC"/>
    <w:rsid w:val="00C97DB5"/>
    <w:rsid w:val="00CB19D5"/>
    <w:rsid w:val="00CB5205"/>
    <w:rsid w:val="00CC09A9"/>
    <w:rsid w:val="00CF06D4"/>
    <w:rsid w:val="00D032EB"/>
    <w:rsid w:val="00D06F40"/>
    <w:rsid w:val="00D1533C"/>
    <w:rsid w:val="00D1724E"/>
    <w:rsid w:val="00D22547"/>
    <w:rsid w:val="00D263AD"/>
    <w:rsid w:val="00D32AF5"/>
    <w:rsid w:val="00D33A19"/>
    <w:rsid w:val="00D43271"/>
    <w:rsid w:val="00D66752"/>
    <w:rsid w:val="00DB6E0A"/>
    <w:rsid w:val="00DC2B51"/>
    <w:rsid w:val="00DD2FFD"/>
    <w:rsid w:val="00DD6237"/>
    <w:rsid w:val="00DD6651"/>
    <w:rsid w:val="00E16978"/>
    <w:rsid w:val="00E247EF"/>
    <w:rsid w:val="00E42482"/>
    <w:rsid w:val="00E42FC7"/>
    <w:rsid w:val="00E504A7"/>
    <w:rsid w:val="00E66C96"/>
    <w:rsid w:val="00E85C8A"/>
    <w:rsid w:val="00E87B7C"/>
    <w:rsid w:val="00E90CF6"/>
    <w:rsid w:val="00E95E4C"/>
    <w:rsid w:val="00E962BF"/>
    <w:rsid w:val="00EB1647"/>
    <w:rsid w:val="00ED0313"/>
    <w:rsid w:val="00EF00AC"/>
    <w:rsid w:val="00EF0A3A"/>
    <w:rsid w:val="00EF38BD"/>
    <w:rsid w:val="00EF5C2C"/>
    <w:rsid w:val="00F25158"/>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1FD8"/>
    <w:rsid w:val="00FB5612"/>
    <w:rsid w:val="00FB6F0E"/>
    <w:rsid w:val="00FC0622"/>
    <w:rsid w:val="00FC6DFC"/>
    <w:rsid w:val="00FD4CB7"/>
    <w:rsid w:val="161857A7"/>
    <w:rsid w:val="1EFB577C"/>
    <w:rsid w:val="34787E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2442</Words>
  <Characters>2589</Characters>
  <Lines>19</Lines>
  <Paragraphs>5</Paragraphs>
  <TotalTime>493</TotalTime>
  <ScaleCrop>false</ScaleCrop>
  <LinksUpToDate>false</LinksUpToDate>
  <CharactersWithSpaces>2600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晓秋</cp:lastModifiedBy>
  <cp:lastPrinted>2022-06-01T00:42:00Z</cp:lastPrinted>
  <dcterms:modified xsi:type="dcterms:W3CDTF">2022-06-07T09:23:12Z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F65AB9FCB7D44F03834E51A356531252</vt:lpwstr>
  </property>
</Properties>
</file>