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rPr>
          <w:rFonts w:hint="eastAsia" w:ascii="方正黑体_GBK" w:hAnsi="方正黑体_GBK" w:eastAsia="方正黑体_GBK" w:cs="方正黑体_GBK"/>
          <w:spacing w:val="-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textAlignment w:val="baseline"/>
        <w:rPr>
          <w:rFonts w:hint="eastAsia" w:ascii="方正小标宋_GBK" w:hAnsi="华文中宋" w:eastAsia="方正小标宋_GBK" w:cs="方正小标宋简体"/>
          <w:spacing w:val="-8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_GBK" w:hAnsi="华文中宋" w:eastAsia="方正小标宋_GBK" w:cs="方正小标宋简体"/>
          <w:spacing w:val="-8"/>
          <w:sz w:val="44"/>
          <w:szCs w:val="44"/>
        </w:rPr>
      </w:pPr>
      <w:r>
        <w:rPr>
          <w:rFonts w:hint="eastAsia" w:ascii="方正小标宋_GBK" w:hAnsi="华文中宋" w:eastAsia="方正小标宋_GBK" w:cs="方正小标宋简体"/>
          <w:spacing w:val="-8"/>
          <w:sz w:val="44"/>
          <w:szCs w:val="44"/>
        </w:rPr>
        <w:t>关于将有关场所和单位纳入消防安全重点单位界定标准的通知</w:t>
      </w:r>
    </w:p>
    <w:p>
      <w:pPr>
        <w:widowControl/>
        <w:spacing w:line="600" w:lineRule="exac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在原消防安全重点单位界定标准的基础上增加下列场所和单位：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一、建筑面积在500平方米以上的剧本杀、密室逃脱等剧本娱乐经营场所；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二、建筑面积在1000平方米以上的室内冰雪活动场所；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三、住宿床位在50张以上的月子中心等孕婴服务场所；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四、县级以上数据中心；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五、4A级以上具有建筑火灾危险性的旅游景区；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六、功率为30MW且容量为30MW·h及以上的电化学储能电站；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七、同一建筑内存在多个服装、鞋帽、玩具、木制品、家具、塑料、食品加工、纺织、印染、印刷产品等企业且生产车间员工总人数在100人以上的建筑产权或管理单位；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八、存储型物流建筑单体面积在5000平方米以上，作业型物流建筑、综合型物流建筑单体面积在10000平方米以上的企业。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288AB4-7592-41DE-9B82-29765D48A82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6D5DE2F3-C878-458E-A5A7-8DC40A0CD17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2AA76B7-2C6C-4DFD-BAB4-4E7B024BA17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F7BE0A9-74D9-45B8-A631-D8B3E26E6243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819493B7-0588-47E3-8FF5-808BBCFE2F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129D2C69-50B1-4779-807D-739D1CA51C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OTZkMzVmZmVlMThmNDJiMDljYjU0ZDc2NzVlMjkifQ=="/>
  </w:docVars>
  <w:rsids>
    <w:rsidRoot w:val="01F77BBD"/>
    <w:rsid w:val="01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2024-04-09T07:24:00Z</dcterms:created>
  <dc:creator>产业集聚区 敏敏</dc:creator>
  <cp:lastModifiedBy>产业集聚区 敏敏</cp:lastModifiedBy>
  <dcterms:modified xsi:type="dcterms:W3CDTF">2024-04-09T07:25:02Z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42EEFBB9618140DCBF66F77225C1BFF0_11</vt:lpwstr>
  </property>
</Properties>
</file>