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新宋体" w:hAnsi="新宋体" w:eastAsia="新宋体"/>
          <w:sz w:val="32"/>
          <w:szCs w:val="32"/>
        </w:rPr>
      </w:pPr>
    </w:p>
    <w:p>
      <w:pPr>
        <w:jc w:val="center"/>
        <w:rPr>
          <w:rFonts w:hint="eastAsia" w:ascii="宋体" w:hAnsi="宋体" w:eastAsia="宋体" w:cs="宋体"/>
          <w:b/>
          <w:bCs/>
          <w:spacing w:val="-11"/>
          <w:sz w:val="44"/>
          <w:szCs w:val="44"/>
        </w:rPr>
      </w:pPr>
      <w:r>
        <w:rPr>
          <w:rFonts w:hint="eastAsia" w:ascii="宋体" w:hAnsi="宋体" w:eastAsia="宋体" w:cs="宋体"/>
          <w:b/>
          <w:bCs/>
          <w:spacing w:val="-11"/>
          <w:sz w:val="44"/>
          <w:szCs w:val="44"/>
        </w:rPr>
        <w:t>关于《</w:t>
      </w:r>
      <w:r>
        <w:rPr>
          <w:rFonts w:hint="eastAsia" w:ascii="宋体" w:hAnsi="宋体" w:eastAsia="宋体" w:cs="宋体"/>
          <w:b/>
          <w:bCs/>
          <w:spacing w:val="-11"/>
          <w:sz w:val="44"/>
          <w:szCs w:val="44"/>
          <w:lang w:eastAsia="zh-CN"/>
        </w:rPr>
        <w:t>河南蓝创作物科学有限公司年产5000吨环保型植物调节剂</w:t>
      </w:r>
      <w:r>
        <w:rPr>
          <w:rFonts w:hint="eastAsia" w:ascii="宋体" w:hAnsi="宋体" w:eastAsia="宋体" w:cs="宋体"/>
          <w:b/>
          <w:bCs/>
          <w:spacing w:val="-11"/>
          <w:sz w:val="44"/>
          <w:szCs w:val="44"/>
        </w:rPr>
        <w:t>环境影响报告书》的批复</w:t>
      </w:r>
    </w:p>
    <w:p>
      <w:pPr>
        <w:rPr>
          <w:rFonts w:ascii="黑体" w:hAnsi="黑体" w:eastAsia="黑体"/>
          <w:sz w:val="36"/>
          <w:szCs w:val="36"/>
        </w:rPr>
      </w:pPr>
    </w:p>
    <w:p>
      <w:pPr>
        <w:jc w:val="left"/>
        <w:rPr>
          <w:rFonts w:hint="eastAsia" w:ascii="仿宋" w:hAnsi="仿宋" w:eastAsia="仿宋" w:cs="仿宋"/>
          <w:sz w:val="32"/>
          <w:szCs w:val="32"/>
        </w:rPr>
      </w:pPr>
      <w:r>
        <w:rPr>
          <w:rFonts w:hint="eastAsia" w:ascii="仿宋" w:hAnsi="仿宋" w:eastAsia="仿宋" w:cs="仿宋"/>
          <w:sz w:val="32"/>
          <w:szCs w:val="32"/>
          <w:lang w:eastAsia="zh-CN"/>
        </w:rPr>
        <w:t>河南蓝创作物科学有限公司</w:t>
      </w:r>
      <w:r>
        <w:rPr>
          <w:rFonts w:hint="eastAsia" w:ascii="仿宋" w:hAnsi="仿宋" w:eastAsia="仿宋" w:cs="仿宋"/>
          <w:sz w:val="32"/>
          <w:szCs w:val="32"/>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你公司（统一社会信用代码：91411700MA9GHLMG9Y）上报的由</w:t>
      </w:r>
      <w:r>
        <w:rPr>
          <w:rFonts w:hint="eastAsia" w:ascii="仿宋" w:hAnsi="仿宋" w:eastAsia="仿宋" w:cs="仿宋"/>
          <w:sz w:val="32"/>
          <w:szCs w:val="32"/>
          <w:lang w:eastAsia="zh-CN"/>
        </w:rPr>
        <w:t>河南诺威环保工程有限公司</w:t>
      </w:r>
      <w:r>
        <w:rPr>
          <w:rFonts w:hint="eastAsia" w:ascii="仿宋" w:hAnsi="仿宋" w:eastAsia="仿宋" w:cs="仿宋"/>
          <w:sz w:val="32"/>
          <w:szCs w:val="32"/>
        </w:rPr>
        <w:t>编制的《</w:t>
      </w:r>
      <w:r>
        <w:rPr>
          <w:rFonts w:hint="eastAsia" w:ascii="仿宋" w:hAnsi="仿宋" w:eastAsia="仿宋" w:cs="仿宋"/>
          <w:sz w:val="32"/>
          <w:szCs w:val="32"/>
          <w:lang w:eastAsia="zh-CN"/>
        </w:rPr>
        <w:t>河南蓝创作物科学有限公司年产5000吨环保型植物调节剂</w:t>
      </w:r>
      <w:r>
        <w:rPr>
          <w:rFonts w:hint="eastAsia" w:ascii="仿宋" w:hAnsi="仿宋" w:eastAsia="仿宋" w:cs="仿宋"/>
          <w:sz w:val="32"/>
          <w:szCs w:val="32"/>
        </w:rPr>
        <w:t>环境影响报告书（报批版）》（以下简称《报告书》）收悉，该项目审批事项在高新技术产业开发区管委会网站公示期满。根据《中华人民共和国环境保护法》、《中华人民共和国行政许可法》、《中华人民共和国环境影响评价法》、《建设项目环境保护管理条例》等法律法规规定，现批复如下：</w:t>
      </w:r>
    </w:p>
    <w:p>
      <w:pPr>
        <w:jc w:val="both"/>
        <w:rPr>
          <w:rFonts w:hint="eastAsia" w:ascii="仿宋" w:hAnsi="仿宋" w:eastAsia="仿宋" w:cs="仿宋"/>
          <w:sz w:val="32"/>
          <w:szCs w:val="32"/>
        </w:rPr>
      </w:pPr>
      <w:r>
        <w:rPr>
          <w:rFonts w:hint="eastAsia" w:ascii="仿宋" w:hAnsi="仿宋" w:eastAsia="仿宋" w:cs="仿宋"/>
          <w:sz w:val="32"/>
          <w:szCs w:val="32"/>
        </w:rPr>
        <w:t xml:space="preserve">    一、该项目建设地址位于驻马店</w:t>
      </w:r>
      <w:r>
        <w:rPr>
          <w:rFonts w:hint="eastAsia" w:ascii="仿宋" w:hAnsi="仿宋" w:eastAsia="仿宋" w:cs="仿宋"/>
          <w:sz w:val="32"/>
          <w:szCs w:val="32"/>
          <w:lang w:val="en-US" w:eastAsia="zh-CN"/>
        </w:rPr>
        <w:t>高新</w:t>
      </w:r>
      <w:r>
        <w:rPr>
          <w:rFonts w:hint="eastAsia" w:ascii="仿宋" w:hAnsi="仿宋" w:eastAsia="仿宋" w:cs="仿宋"/>
          <w:sz w:val="32"/>
          <w:szCs w:val="32"/>
        </w:rPr>
        <w:t>区</w:t>
      </w:r>
      <w:r>
        <w:rPr>
          <w:rFonts w:hint="eastAsia" w:ascii="仿宋" w:hAnsi="仿宋" w:eastAsia="仿宋" w:cs="仿宋"/>
          <w:sz w:val="32"/>
          <w:szCs w:val="32"/>
          <w:lang w:eastAsia="zh-CN"/>
        </w:rPr>
        <w:t>兴业大道和汝河大道交叉口向东</w:t>
      </w:r>
      <w:r>
        <w:rPr>
          <w:rFonts w:hint="eastAsia" w:ascii="仿宋" w:hAnsi="仿宋" w:eastAsia="仿宋" w:cs="仿宋"/>
          <w:sz w:val="32"/>
          <w:szCs w:val="32"/>
          <w:lang w:val="en-US" w:eastAsia="zh-CN"/>
        </w:rPr>
        <w:t>150米，河南先利达化工有限公司厂区内</w:t>
      </w:r>
      <w:r>
        <w:rPr>
          <w:rFonts w:hint="eastAsia" w:ascii="仿宋" w:hAnsi="仿宋" w:eastAsia="仿宋" w:cs="仿宋"/>
          <w:sz w:val="32"/>
          <w:szCs w:val="32"/>
        </w:rPr>
        <w:t>。主要建设</w:t>
      </w:r>
      <w:r>
        <w:rPr>
          <w:rFonts w:hint="eastAsia" w:ascii="仿宋" w:hAnsi="仿宋" w:eastAsia="仿宋" w:cs="仿宋"/>
          <w:sz w:val="32"/>
          <w:szCs w:val="32"/>
          <w:lang w:eastAsia="zh-CN"/>
        </w:rPr>
        <w:t>规模为年产原药</w:t>
      </w:r>
      <w:r>
        <w:rPr>
          <w:rFonts w:hint="eastAsia" w:ascii="仿宋" w:hAnsi="仿宋" w:eastAsia="仿宋" w:cs="仿宋"/>
          <w:sz w:val="32"/>
          <w:szCs w:val="32"/>
          <w:lang w:val="en-US" w:eastAsia="zh-CN"/>
        </w:rPr>
        <w:t>400吨，液体制剂、固体制剂、除草剂共4600吨；主要建设内容包括甲类生产车间、丙类生产车间、丙类仓库等，其他辅助及配套设施均依托先利达项目</w:t>
      </w:r>
      <w:r>
        <w:rPr>
          <w:rFonts w:hint="eastAsia" w:ascii="仿宋" w:hAnsi="仿宋" w:eastAsia="仿宋" w:cs="仿宋"/>
          <w:sz w:val="32"/>
          <w:szCs w:val="32"/>
        </w:rPr>
        <w:t>。该《报告书》内容符合国家政策法律法规要求和建设项目环境管理规定，原则同意你公司按照《报告书》所列项目的性质、规模、地点、采用的生产工艺和环境保护对策措施进行项目建设。</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二、你公司应主动向社会公众公开《报告书》内容，并接受相关方的垂询。</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三、你公司应全面落实《报告书》提出的各项环境保护措施，确保各项污染物达标排放。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（一）依据《报告书》和本批复文件，对项目建设过程中产生的废水、废气、固体废物、噪声等污染，以及因施工对自然、生态环境造成的破坏，采取相应的防治措施。</w:t>
      </w:r>
    </w:p>
    <w:p>
      <w:pPr>
        <w:ind w:firstLine="660"/>
        <w:rPr>
          <w:rFonts w:hint="eastAsia" w:ascii="仿宋" w:hAnsi="仿宋" w:eastAsia="仿宋" w:cs="仿宋"/>
          <w:sz w:val="32"/>
          <w:szCs w:val="32"/>
        </w:rPr>
      </w:pPr>
      <w:r>
        <w:rPr>
          <w:rFonts w:hint="eastAsia" w:ascii="仿宋" w:hAnsi="仿宋" w:eastAsia="仿宋" w:cs="仿宋"/>
          <w:sz w:val="32"/>
          <w:szCs w:val="32"/>
        </w:rPr>
        <w:t>（二）项目建成投产时，外排污染物应满足以下要求：</w:t>
      </w:r>
    </w:p>
    <w:p>
      <w:pPr>
        <w:spacing w:line="360" w:lineRule="auto"/>
        <w:ind w:firstLine="642" w:firstLineChars="200"/>
        <w:rPr>
          <w:rFonts w:hint="eastAsia" w:ascii="仿宋" w:hAnsi="仿宋" w:eastAsia="仿宋" w:cs="仿宋"/>
          <w:color w:val="FF0000"/>
          <w:sz w:val="32"/>
          <w:szCs w:val="32"/>
        </w:rPr>
      </w:pPr>
      <w:r>
        <w:rPr>
          <w:rFonts w:hint="eastAsia" w:ascii="仿宋" w:hAnsi="仿宋" w:eastAsia="仿宋" w:cs="仿宋"/>
          <w:b/>
          <w:bCs/>
          <w:sz w:val="32"/>
          <w:szCs w:val="32"/>
        </w:rPr>
        <w:t>1、</w:t>
      </w:r>
      <w:r>
        <w:rPr>
          <w:rFonts w:hint="eastAsia" w:ascii="仿宋" w:hAnsi="仿宋" w:eastAsia="仿宋" w:cs="仿宋"/>
          <w:b/>
          <w:sz w:val="32"/>
          <w:szCs w:val="32"/>
        </w:rPr>
        <w:t>废气</w:t>
      </w:r>
      <w:r>
        <w:rPr>
          <w:rFonts w:hint="eastAsia" w:ascii="仿宋" w:hAnsi="仿宋" w:eastAsia="仿宋" w:cs="仿宋"/>
          <w:bCs/>
          <w:sz w:val="32"/>
          <w:szCs w:val="32"/>
        </w:rPr>
        <w:t>：</w:t>
      </w:r>
      <w:r>
        <w:rPr>
          <w:rFonts w:hint="eastAsia" w:ascii="仿宋" w:hAnsi="仿宋" w:eastAsia="仿宋" w:cs="仿宋"/>
          <w:bCs/>
          <w:sz w:val="32"/>
          <w:szCs w:val="32"/>
          <w:lang w:eastAsia="zh-CN"/>
        </w:rPr>
        <w:t>原药生产工艺中有机废气（不含卤素、不含硫，冷凝预处理）均经收集后进入1套RCO装置（和先利达共用）进行处理</w:t>
      </w:r>
      <w:r>
        <w:rPr>
          <w:rFonts w:hint="eastAsia" w:ascii="仿宋" w:hAnsi="仿宋" w:eastAsia="仿宋" w:cs="仿宋"/>
          <w:bCs/>
          <w:sz w:val="32"/>
          <w:szCs w:val="32"/>
        </w:rPr>
        <w:t>，处理后由1根</w:t>
      </w:r>
      <w:r>
        <w:rPr>
          <w:rFonts w:hint="eastAsia" w:ascii="仿宋" w:hAnsi="仿宋" w:eastAsia="仿宋" w:cs="仿宋"/>
          <w:bCs/>
          <w:sz w:val="32"/>
          <w:szCs w:val="32"/>
          <w:lang w:val="en-US" w:eastAsia="zh-CN"/>
        </w:rPr>
        <w:t>2</w:t>
      </w:r>
      <w:r>
        <w:rPr>
          <w:rFonts w:hint="eastAsia" w:ascii="仿宋" w:hAnsi="仿宋" w:eastAsia="仿宋" w:cs="仿宋"/>
          <w:bCs/>
          <w:sz w:val="32"/>
          <w:szCs w:val="32"/>
        </w:rPr>
        <w:t>5m高排气筒（</w:t>
      </w:r>
      <w:r>
        <w:rPr>
          <w:rFonts w:hint="eastAsia" w:ascii="仿宋" w:hAnsi="仿宋" w:eastAsia="仿宋" w:cs="仿宋"/>
          <w:bCs/>
          <w:sz w:val="32"/>
          <w:szCs w:val="32"/>
          <w:lang w:eastAsia="zh-CN"/>
        </w:rPr>
        <w:t>DA001</w:t>
      </w:r>
      <w:r>
        <w:rPr>
          <w:rFonts w:hint="eastAsia" w:ascii="仿宋" w:hAnsi="仿宋" w:eastAsia="仿宋" w:cs="仿宋"/>
          <w:bCs/>
          <w:sz w:val="32"/>
          <w:szCs w:val="32"/>
        </w:rPr>
        <w:t>）排放；</w:t>
      </w:r>
      <w:r>
        <w:rPr>
          <w:rFonts w:hint="eastAsia" w:ascii="仿宋" w:hAnsi="仿宋" w:eastAsia="仿宋" w:cs="仿宋"/>
          <w:bCs/>
          <w:sz w:val="32"/>
          <w:szCs w:val="32"/>
          <w:lang w:eastAsia="zh-CN"/>
        </w:rPr>
        <w:t>原药生产工艺中含卤素、含硫有机废气（冷凝预处理）、氯化氢废气废气均经收集后进入1套二级碱喷淋+活性炭吸附装置进行处理，处理后由1根25m高排气筒（DA002）排放</w:t>
      </w:r>
      <w:r>
        <w:rPr>
          <w:rFonts w:hint="eastAsia" w:ascii="仿宋" w:hAnsi="仿宋" w:eastAsia="仿宋" w:cs="仿宋"/>
          <w:bCs/>
          <w:sz w:val="32"/>
          <w:szCs w:val="32"/>
        </w:rPr>
        <w:t>；</w:t>
      </w:r>
      <w:r>
        <w:rPr>
          <w:rFonts w:hint="eastAsia" w:ascii="仿宋" w:hAnsi="仿宋" w:eastAsia="仿宋" w:cs="仿宋"/>
          <w:bCs/>
          <w:sz w:val="32"/>
          <w:szCs w:val="32"/>
          <w:lang w:eastAsia="zh-CN"/>
        </w:rPr>
        <w:t>制剂生产粉尘经集气罩收集后进入布袋除尘器处理+25m高排气筒（DA003）排放；制剂生产挥发性有机废气经负压管道收集后进入二级碱喷淋+活性炭吸附+25m高排气筒（DA004）排放；储罐区废气、甲类仓库废气、危废暂存间、污水处理站废气均经收集后进入1套二级碱喷淋+活性炭吸附装置（和先利达共用）进行处理，处理后由1根15m高排气筒（DA005）排放；</w:t>
      </w:r>
      <w:r>
        <w:rPr>
          <w:rFonts w:hint="eastAsia" w:ascii="仿宋" w:hAnsi="仿宋" w:eastAsia="仿宋" w:cs="仿宋"/>
          <w:bCs/>
          <w:sz w:val="32"/>
          <w:szCs w:val="32"/>
        </w:rPr>
        <w:t>食堂厨房油烟经油烟净化器处理后在楼顶排放。采取以上措施后，</w:t>
      </w:r>
      <w:r>
        <w:rPr>
          <w:rFonts w:hint="eastAsia" w:ascii="仿宋" w:hAnsi="仿宋" w:eastAsia="仿宋" w:cs="仿宋"/>
          <w:bCs/>
          <w:color w:val="auto"/>
          <w:sz w:val="32"/>
          <w:szCs w:val="32"/>
          <w:lang w:val="en-US" w:eastAsia="zh-CN"/>
        </w:rPr>
        <w:t>项目废气排放</w:t>
      </w:r>
      <w:r>
        <w:rPr>
          <w:rFonts w:hint="eastAsia" w:ascii="仿宋" w:hAnsi="仿宋" w:eastAsia="仿宋" w:cs="仿宋"/>
          <w:b w:val="0"/>
          <w:bCs/>
          <w:sz w:val="32"/>
          <w:szCs w:val="32"/>
          <w:lang w:eastAsia="zh-CN"/>
        </w:rPr>
        <w:t>满足《农药制造工业大气污染物排放标准》（GB39727-2020）、《大气污染物综合排放标准》（GB16297-1996）二级标准、河南省工业企业挥发性有机物专项治理工作排放建议值、《挥发性有机物无组织排放控制标准》（GB37822-2019）</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lang w:eastAsia="zh-CN"/>
        </w:rPr>
        <w:t>《恶臭污染物排放标准》（GB14554-93）</w:t>
      </w:r>
      <w:r>
        <w:rPr>
          <w:rFonts w:hint="eastAsia" w:ascii="仿宋" w:hAnsi="仿宋" w:eastAsia="仿宋" w:cs="仿宋"/>
          <w:b w:val="0"/>
          <w:bCs/>
          <w:sz w:val="32"/>
          <w:szCs w:val="32"/>
          <w:lang w:val="en-US" w:eastAsia="zh-CN"/>
        </w:rPr>
        <w:t>、《餐饮业油烟污染物排放标准》（DB41/1604-2018）“中型规模”标准</w:t>
      </w:r>
      <w:r>
        <w:rPr>
          <w:rFonts w:hint="eastAsia" w:ascii="仿宋" w:hAnsi="仿宋" w:eastAsia="仿宋" w:cs="仿宋"/>
          <w:b w:val="0"/>
          <w:bCs/>
          <w:sz w:val="32"/>
          <w:szCs w:val="32"/>
        </w:rPr>
        <w:t>。</w:t>
      </w:r>
    </w:p>
    <w:p>
      <w:pPr>
        <w:ind w:firstLine="640"/>
        <w:rPr>
          <w:rFonts w:hint="eastAsia" w:ascii="仿宋" w:hAnsi="仿宋" w:eastAsia="仿宋" w:cs="仿宋"/>
          <w:b w:val="0"/>
          <w:bCs/>
          <w:sz w:val="32"/>
          <w:szCs w:val="32"/>
          <w:lang w:eastAsia="zh-CN"/>
        </w:rPr>
      </w:pPr>
      <w:r>
        <w:rPr>
          <w:rFonts w:hint="eastAsia" w:ascii="仿宋" w:hAnsi="仿宋" w:eastAsia="仿宋" w:cs="仿宋"/>
          <w:b/>
          <w:sz w:val="32"/>
          <w:szCs w:val="32"/>
        </w:rPr>
        <w:t>2、</w:t>
      </w:r>
      <w:r>
        <w:rPr>
          <w:rFonts w:hint="eastAsia" w:ascii="仿宋" w:hAnsi="仿宋" w:eastAsia="仿宋" w:cs="仿宋"/>
          <w:b/>
          <w:bCs/>
          <w:sz w:val="32"/>
          <w:szCs w:val="32"/>
        </w:rPr>
        <w:t>废水：</w:t>
      </w:r>
      <w:r>
        <w:rPr>
          <w:rFonts w:hint="eastAsia" w:ascii="仿宋" w:hAnsi="仿宋" w:eastAsia="仿宋" w:cs="仿宋"/>
          <w:b w:val="0"/>
          <w:bCs w:val="0"/>
          <w:sz w:val="32"/>
          <w:szCs w:val="32"/>
        </w:rPr>
        <w:t>生产工艺废水、</w:t>
      </w:r>
      <w:r>
        <w:rPr>
          <w:rFonts w:hint="eastAsia" w:ascii="仿宋" w:hAnsi="仿宋" w:eastAsia="仿宋" w:cs="仿宋"/>
          <w:b w:val="0"/>
          <w:bCs w:val="0"/>
          <w:sz w:val="32"/>
          <w:szCs w:val="32"/>
          <w:lang w:eastAsia="zh-CN"/>
        </w:rPr>
        <w:t>真空泵废水、喷淋塔废水、地面清洗废水</w:t>
      </w:r>
      <w:r>
        <w:rPr>
          <w:rFonts w:hint="eastAsia" w:ascii="仿宋" w:hAnsi="仿宋" w:eastAsia="仿宋" w:cs="仿宋"/>
          <w:b w:val="0"/>
          <w:bCs w:val="0"/>
          <w:sz w:val="32"/>
          <w:szCs w:val="32"/>
        </w:rPr>
        <w:t>经厂内污水处理站</w:t>
      </w:r>
      <w:r>
        <w:rPr>
          <w:rFonts w:hint="eastAsia" w:ascii="仿宋" w:hAnsi="仿宋" w:eastAsia="仿宋" w:cs="仿宋"/>
          <w:b w:val="0"/>
          <w:bCs w:val="0"/>
          <w:sz w:val="32"/>
          <w:szCs w:val="32"/>
          <w:lang w:eastAsia="zh-CN"/>
        </w:rPr>
        <w:t>（依托先利达项目）</w:t>
      </w:r>
      <w:r>
        <w:rPr>
          <w:rFonts w:hint="eastAsia" w:ascii="仿宋" w:hAnsi="仿宋" w:eastAsia="仿宋" w:cs="仿宋"/>
          <w:b w:val="0"/>
          <w:bCs w:val="0"/>
          <w:sz w:val="32"/>
          <w:szCs w:val="32"/>
        </w:rPr>
        <w:t>处理后进入厂区总排口排放</w:t>
      </w:r>
      <w:r>
        <w:rPr>
          <w:rFonts w:hint="eastAsia" w:ascii="仿宋" w:hAnsi="仿宋" w:eastAsia="仿宋" w:cs="仿宋"/>
          <w:b w:val="0"/>
          <w:bCs w:val="0"/>
          <w:sz w:val="32"/>
          <w:szCs w:val="32"/>
          <w:lang w:eastAsia="zh-CN"/>
        </w:rPr>
        <w:t>，污水处理站设计处理规模为</w:t>
      </w:r>
      <w:r>
        <w:rPr>
          <w:rFonts w:hint="eastAsia" w:ascii="仿宋" w:hAnsi="仿宋" w:eastAsia="仿宋" w:cs="仿宋"/>
          <w:b w:val="0"/>
          <w:bCs w:val="0"/>
          <w:sz w:val="32"/>
          <w:szCs w:val="32"/>
          <w:lang w:val="en-US" w:eastAsia="zh-CN"/>
        </w:rPr>
        <w:t>10</w:t>
      </w:r>
      <w:r>
        <w:rPr>
          <w:rFonts w:hint="eastAsia" w:ascii="仿宋" w:hAnsi="仿宋" w:eastAsia="仿宋" w:cs="仿宋"/>
          <w:b w:val="0"/>
          <w:bCs w:val="0"/>
          <w:sz w:val="32"/>
          <w:szCs w:val="32"/>
        </w:rPr>
        <w:t>0m</w:t>
      </w:r>
      <w:r>
        <w:rPr>
          <w:rFonts w:hint="eastAsia" w:ascii="仿宋" w:hAnsi="仿宋" w:eastAsia="仿宋" w:cs="仿宋"/>
          <w:b w:val="0"/>
          <w:bCs w:val="0"/>
          <w:sz w:val="32"/>
          <w:szCs w:val="32"/>
          <w:vertAlign w:val="superscript"/>
        </w:rPr>
        <w:t>3</w:t>
      </w:r>
      <w:r>
        <w:rPr>
          <w:rFonts w:hint="eastAsia" w:ascii="仿宋" w:hAnsi="仿宋" w:eastAsia="仿宋" w:cs="仿宋"/>
          <w:b w:val="0"/>
          <w:bCs w:val="0"/>
          <w:sz w:val="32"/>
          <w:szCs w:val="32"/>
        </w:rPr>
        <w:t>/d，主要处理工艺为“调节池+高级氧化+</w:t>
      </w:r>
      <w:r>
        <w:rPr>
          <w:rFonts w:hint="eastAsia" w:ascii="仿宋" w:hAnsi="仿宋" w:eastAsia="仿宋" w:cs="仿宋"/>
          <w:b w:val="0"/>
          <w:bCs w:val="0"/>
          <w:sz w:val="32"/>
          <w:szCs w:val="32"/>
          <w:lang w:eastAsia="zh-CN"/>
        </w:rPr>
        <w:t>UASB+水解酸化</w:t>
      </w:r>
      <w:r>
        <w:rPr>
          <w:rFonts w:hint="eastAsia" w:ascii="仿宋" w:hAnsi="仿宋" w:eastAsia="仿宋" w:cs="仿宋"/>
          <w:b w:val="0"/>
          <w:bCs w:val="0"/>
          <w:sz w:val="32"/>
          <w:szCs w:val="32"/>
        </w:rPr>
        <w:t>+多级AO+二沉池</w:t>
      </w:r>
      <w:r>
        <w:rPr>
          <w:rFonts w:hint="eastAsia" w:ascii="仿宋" w:hAnsi="仿宋" w:eastAsia="仿宋" w:cs="仿宋"/>
          <w:b w:val="0"/>
          <w:bCs w:val="0"/>
          <w:sz w:val="32"/>
          <w:szCs w:val="32"/>
          <w:lang w:val="en-US" w:eastAsia="zh-CN"/>
        </w:rPr>
        <w:t>+BAF</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职工生活污水经隔油池、化粪池处理后进入厂区总排口排放；纯水制备系统废水、</w:t>
      </w:r>
      <w:r>
        <w:rPr>
          <w:rFonts w:hint="eastAsia" w:ascii="仿宋" w:hAnsi="仿宋" w:eastAsia="仿宋" w:cs="仿宋"/>
          <w:b w:val="0"/>
          <w:bCs w:val="0"/>
          <w:sz w:val="32"/>
          <w:szCs w:val="32"/>
        </w:rPr>
        <w:t>循环冷却水系统排水均属于清净废水，直接进入厂区总排口。厂区总排口排入</w:t>
      </w:r>
      <w:r>
        <w:rPr>
          <w:rFonts w:hint="eastAsia" w:ascii="仿宋" w:hAnsi="仿宋" w:eastAsia="仿宋" w:cs="仿宋"/>
          <w:b w:val="0"/>
          <w:bCs w:val="0"/>
          <w:sz w:val="32"/>
          <w:szCs w:val="32"/>
          <w:lang w:val="en-US" w:eastAsia="zh-CN"/>
        </w:rPr>
        <w:t>汝河大道</w:t>
      </w:r>
      <w:r>
        <w:rPr>
          <w:rFonts w:hint="eastAsia" w:ascii="仿宋" w:hAnsi="仿宋" w:eastAsia="仿宋" w:cs="仿宋"/>
          <w:b w:val="0"/>
          <w:bCs w:val="0"/>
          <w:sz w:val="32"/>
          <w:szCs w:val="32"/>
        </w:rPr>
        <w:t>市政污水管网，进入</w:t>
      </w:r>
      <w:r>
        <w:rPr>
          <w:rFonts w:hint="eastAsia" w:ascii="仿宋" w:hAnsi="仿宋" w:eastAsia="仿宋" w:cs="仿宋"/>
          <w:b w:val="0"/>
          <w:bCs w:val="0"/>
          <w:sz w:val="32"/>
          <w:szCs w:val="32"/>
          <w:lang w:val="en-US" w:eastAsia="zh-CN"/>
        </w:rPr>
        <w:t>驻马店第三</w:t>
      </w:r>
      <w:r>
        <w:rPr>
          <w:rFonts w:hint="eastAsia" w:ascii="仿宋" w:hAnsi="仿宋" w:eastAsia="仿宋" w:cs="仿宋"/>
          <w:b w:val="0"/>
          <w:bCs w:val="0"/>
          <w:sz w:val="32"/>
          <w:szCs w:val="32"/>
        </w:rPr>
        <w:t>污水处理厂统一处理。</w:t>
      </w:r>
      <w:r>
        <w:rPr>
          <w:rFonts w:hint="eastAsia" w:ascii="仿宋" w:hAnsi="仿宋" w:eastAsia="仿宋" w:cs="仿宋"/>
          <w:b w:val="0"/>
          <w:bCs/>
          <w:sz w:val="32"/>
          <w:szCs w:val="32"/>
          <w:lang w:eastAsia="zh-CN"/>
        </w:rPr>
        <w:t>废水排放满足《化工行业水污染物间接排放标准》（DB</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41/1135-2016）和驻马店市第三污水处理厂收水水质要求。</w:t>
      </w:r>
    </w:p>
    <w:p>
      <w:pPr>
        <w:ind w:firstLine="640"/>
        <w:rPr>
          <w:rFonts w:hint="eastAsia" w:ascii="仿宋" w:hAnsi="仿宋" w:eastAsia="仿宋" w:cs="仿宋"/>
          <w:sz w:val="32"/>
          <w:szCs w:val="32"/>
          <w:lang w:val="en-US" w:eastAsia="zh-CN"/>
        </w:rPr>
      </w:pPr>
      <w:r>
        <w:rPr>
          <w:rFonts w:hint="eastAsia" w:ascii="仿宋" w:hAnsi="仿宋" w:eastAsia="仿宋" w:cs="仿宋"/>
          <w:b/>
          <w:bCs/>
          <w:sz w:val="32"/>
          <w:szCs w:val="32"/>
        </w:rPr>
        <w:t>3、固体废物：</w:t>
      </w:r>
      <w:r>
        <w:rPr>
          <w:rFonts w:hint="eastAsia" w:ascii="仿宋" w:hAnsi="仿宋" w:eastAsia="仿宋" w:cs="仿宋"/>
          <w:b w:val="0"/>
          <w:bCs w:val="0"/>
          <w:sz w:val="32"/>
          <w:szCs w:val="32"/>
          <w:lang w:eastAsia="zh-CN"/>
        </w:rPr>
        <w:t>生产工艺中的各类废渣、废原料桶、废活性炭、RCO废催化剂、废冷凝液等危险废物</w:t>
      </w:r>
      <w:r>
        <w:rPr>
          <w:rFonts w:hint="eastAsia" w:ascii="仿宋" w:hAnsi="仿宋" w:eastAsia="仿宋" w:cs="仿宋"/>
          <w:b w:val="0"/>
          <w:bCs w:val="0"/>
          <w:sz w:val="32"/>
          <w:szCs w:val="32"/>
        </w:rPr>
        <w:t>全部储存于厂区危险废物暂存间</w:t>
      </w:r>
      <w:r>
        <w:rPr>
          <w:rFonts w:hint="eastAsia" w:ascii="仿宋" w:hAnsi="仿宋" w:eastAsia="仿宋" w:cs="仿宋"/>
          <w:b w:val="0"/>
          <w:bCs w:val="0"/>
          <w:sz w:val="32"/>
          <w:szCs w:val="32"/>
          <w:lang w:eastAsia="zh-CN"/>
        </w:rPr>
        <w:t>内</w:t>
      </w:r>
      <w:r>
        <w:rPr>
          <w:rFonts w:hint="eastAsia" w:ascii="仿宋" w:hAnsi="仿宋" w:eastAsia="仿宋" w:cs="仿宋"/>
          <w:b w:val="0"/>
          <w:bCs w:val="0"/>
          <w:sz w:val="32"/>
          <w:szCs w:val="32"/>
        </w:rPr>
        <w:t>，污水处理站污泥</w:t>
      </w:r>
      <w:r>
        <w:rPr>
          <w:rFonts w:hint="eastAsia" w:ascii="仿宋" w:hAnsi="仿宋" w:eastAsia="仿宋" w:cs="仿宋"/>
          <w:b w:val="0"/>
          <w:bCs w:val="0"/>
          <w:sz w:val="32"/>
          <w:szCs w:val="32"/>
          <w:lang w:eastAsia="zh-CN"/>
        </w:rPr>
        <w:t>经脱水后放入污泥暂存间内，</w:t>
      </w:r>
      <w:r>
        <w:rPr>
          <w:rFonts w:hint="eastAsia" w:ascii="仿宋" w:hAnsi="仿宋" w:eastAsia="仿宋" w:cs="仿宋"/>
          <w:b w:val="0"/>
          <w:bCs w:val="0"/>
          <w:sz w:val="32"/>
          <w:szCs w:val="32"/>
        </w:rPr>
        <w:t>定期由有资质单位定期外运处置</w:t>
      </w:r>
      <w:r>
        <w:rPr>
          <w:rFonts w:hint="eastAsia" w:ascii="仿宋" w:hAnsi="仿宋" w:eastAsia="仿宋" w:cs="仿宋"/>
          <w:b w:val="0"/>
          <w:bCs w:val="0"/>
          <w:sz w:val="32"/>
          <w:szCs w:val="32"/>
          <w:lang w:eastAsia="zh-CN"/>
        </w:rPr>
        <w:t>。危险废物临时暂存间严格执行《危险废物贮存污染控制标准》（GB18597-20</w:t>
      </w:r>
      <w:r>
        <w:rPr>
          <w:rFonts w:hint="eastAsia" w:ascii="仿宋" w:hAnsi="仿宋" w:eastAsia="仿宋" w:cs="仿宋"/>
          <w:b w:val="0"/>
          <w:bCs w:val="0"/>
          <w:sz w:val="32"/>
          <w:szCs w:val="32"/>
          <w:lang w:val="en-US" w:eastAsia="zh-CN"/>
        </w:rPr>
        <w:t>23</w:t>
      </w:r>
      <w:r>
        <w:rPr>
          <w:rFonts w:hint="eastAsia" w:ascii="仿宋" w:hAnsi="仿宋" w:eastAsia="仿宋" w:cs="仿宋"/>
          <w:b w:val="0"/>
          <w:bCs w:val="0"/>
          <w:sz w:val="32"/>
          <w:szCs w:val="32"/>
          <w:lang w:eastAsia="zh-CN"/>
        </w:rPr>
        <w:t>）中的有关规定。产品破碎除尘器收集的粉尘可作为产品外售，废弃包装材料外售给废品回收站</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员工生活垃圾由当地市政环卫部门定期清运</w:t>
      </w:r>
      <w:r>
        <w:rPr>
          <w:rFonts w:hint="eastAsia" w:ascii="仿宋" w:hAnsi="仿宋" w:eastAsia="仿宋" w:cs="仿宋"/>
          <w:sz w:val="32"/>
          <w:szCs w:val="32"/>
          <w:lang w:val="en-US" w:eastAsia="zh-CN"/>
        </w:rPr>
        <w:t>。</w:t>
      </w:r>
    </w:p>
    <w:p>
      <w:pPr>
        <w:ind w:firstLine="640"/>
        <w:rPr>
          <w:rFonts w:hint="eastAsia" w:ascii="仿宋" w:hAnsi="仿宋" w:eastAsia="仿宋" w:cs="仿宋"/>
          <w:sz w:val="32"/>
          <w:szCs w:val="32"/>
        </w:rPr>
      </w:pPr>
      <w:r>
        <w:rPr>
          <w:rFonts w:hint="eastAsia" w:ascii="仿宋" w:hAnsi="仿宋" w:eastAsia="仿宋" w:cs="仿宋"/>
          <w:b/>
          <w:bCs/>
          <w:sz w:val="32"/>
          <w:szCs w:val="32"/>
        </w:rPr>
        <w:t>4、噪声：</w:t>
      </w:r>
      <w:r>
        <w:rPr>
          <w:rFonts w:hint="eastAsia" w:ascii="仿宋" w:hAnsi="仿宋" w:eastAsia="仿宋" w:cs="仿宋"/>
          <w:sz w:val="32"/>
          <w:szCs w:val="32"/>
          <w:lang w:eastAsia="zh-CN"/>
        </w:rPr>
        <w:t>空压机、真空泵、</w:t>
      </w:r>
      <w:r>
        <w:rPr>
          <w:rFonts w:hint="eastAsia" w:ascii="仿宋" w:hAnsi="仿宋" w:eastAsia="仿宋" w:cs="仿宋"/>
          <w:sz w:val="32"/>
          <w:szCs w:val="32"/>
        </w:rPr>
        <w:t>风机、</w:t>
      </w:r>
      <w:r>
        <w:rPr>
          <w:rFonts w:hint="eastAsia" w:ascii="仿宋" w:hAnsi="仿宋" w:eastAsia="仿宋" w:cs="仿宋"/>
          <w:sz w:val="32"/>
          <w:szCs w:val="32"/>
          <w:lang w:eastAsia="zh-CN"/>
        </w:rPr>
        <w:t>泵类</w:t>
      </w:r>
      <w:r>
        <w:rPr>
          <w:rFonts w:hint="eastAsia" w:ascii="仿宋" w:hAnsi="仿宋" w:eastAsia="仿宋" w:cs="仿宋"/>
          <w:sz w:val="32"/>
          <w:szCs w:val="32"/>
        </w:rPr>
        <w:t>、离心机等高噪声设备，采用基础减振、隔声等措施，满足《工业企业厂界环境噪声排放标准》（GB12348</w:t>
      </w:r>
      <w:r>
        <w:rPr>
          <w:rFonts w:hint="eastAsia" w:ascii="仿宋" w:hAnsi="仿宋" w:eastAsia="仿宋" w:cs="仿宋"/>
          <w:sz w:val="32"/>
          <w:szCs w:val="32"/>
          <w:lang w:val="en-US" w:eastAsia="zh-CN"/>
        </w:rPr>
        <w:t>-</w:t>
      </w:r>
      <w:r>
        <w:rPr>
          <w:rFonts w:hint="eastAsia" w:ascii="仿宋" w:hAnsi="仿宋" w:eastAsia="仿宋" w:cs="仿宋"/>
          <w:sz w:val="32"/>
          <w:szCs w:val="32"/>
        </w:rPr>
        <w:t>2008）中3类标准。</w:t>
      </w:r>
    </w:p>
    <w:p>
      <w:pPr>
        <w:ind w:firstLine="64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 xml:space="preserve">）主要污染物排放总量：COD </w:t>
      </w:r>
      <w:r>
        <w:rPr>
          <w:rFonts w:hint="eastAsia" w:ascii="仿宋" w:hAnsi="仿宋" w:eastAsia="仿宋" w:cs="仿宋"/>
          <w:sz w:val="32"/>
          <w:szCs w:val="32"/>
          <w:lang w:val="en-US" w:eastAsia="zh-CN"/>
        </w:rPr>
        <w:t>0.410</w:t>
      </w:r>
      <w:r>
        <w:rPr>
          <w:rFonts w:hint="eastAsia" w:ascii="仿宋" w:hAnsi="仿宋" w:eastAsia="仿宋" w:cs="仿宋"/>
          <w:sz w:val="32"/>
          <w:szCs w:val="32"/>
        </w:rPr>
        <w:t>t/a、氨氮</w:t>
      </w:r>
      <w:r>
        <w:rPr>
          <w:rFonts w:hint="eastAsia" w:ascii="仿宋" w:hAnsi="仿宋" w:eastAsia="仿宋" w:cs="仿宋"/>
          <w:sz w:val="32"/>
          <w:szCs w:val="32"/>
          <w:lang w:val="en-US" w:eastAsia="zh-CN"/>
        </w:rPr>
        <w:t>0.041</w:t>
      </w:r>
      <w:r>
        <w:rPr>
          <w:rFonts w:hint="eastAsia" w:ascii="仿宋" w:hAnsi="仿宋" w:eastAsia="仿宋" w:cs="仿宋"/>
          <w:sz w:val="32"/>
          <w:szCs w:val="32"/>
        </w:rPr>
        <w:t>t/a，VOC</w:t>
      </w:r>
      <w:r>
        <w:rPr>
          <w:rFonts w:hint="eastAsia" w:ascii="仿宋" w:hAnsi="仿宋" w:eastAsia="仿宋" w:cs="仿宋"/>
          <w:sz w:val="32"/>
          <w:szCs w:val="32"/>
          <w:vertAlign w:val="subscript"/>
        </w:rPr>
        <w:t>S</w:t>
      </w:r>
      <w:r>
        <w:rPr>
          <w:rFonts w:hint="eastAsia" w:ascii="仿宋" w:hAnsi="仿宋" w:eastAsia="仿宋" w:cs="仿宋"/>
          <w:sz w:val="32"/>
          <w:szCs w:val="32"/>
          <w:vertAlign w:val="subscript"/>
          <w:lang w:val="en-US" w:eastAsia="zh-CN"/>
        </w:rPr>
        <w:t xml:space="preserve"> </w:t>
      </w:r>
      <w:r>
        <w:rPr>
          <w:rFonts w:hint="eastAsia" w:ascii="仿宋" w:hAnsi="仿宋" w:eastAsia="仿宋" w:cs="仿宋"/>
          <w:sz w:val="32"/>
          <w:szCs w:val="32"/>
          <w:vertAlign w:val="baseline"/>
          <w:lang w:val="en-US" w:eastAsia="zh-CN"/>
        </w:rPr>
        <w:t>1.355</w:t>
      </w:r>
      <w:r>
        <w:rPr>
          <w:rFonts w:hint="eastAsia" w:ascii="仿宋" w:hAnsi="仿宋" w:eastAsia="仿宋" w:cs="仿宋"/>
          <w:sz w:val="32"/>
          <w:szCs w:val="32"/>
        </w:rPr>
        <w:t>t/a。按照《河南省建设项目主要污染物排放总量指标管理工作内部规程》</w:t>
      </w:r>
      <w:r>
        <w:rPr>
          <w:rFonts w:hint="default" w:ascii="仿宋" w:hAnsi="仿宋" w:eastAsia="仿宋" w:cs="仿宋"/>
          <w:sz w:val="32"/>
          <w:szCs w:val="32"/>
          <w:lang w:val="en"/>
        </w:rPr>
        <w:t>,</w:t>
      </w:r>
      <w:r>
        <w:rPr>
          <w:rFonts w:hint="eastAsia" w:ascii="仿宋" w:hAnsi="仿宋" w:eastAsia="仿宋" w:cs="仿宋"/>
          <w:sz w:val="32"/>
          <w:szCs w:val="32"/>
        </w:rPr>
        <w:t>本项目废水污染物排放总量控制指标由驻马店市第三污水处理厂总量指标中替代，废气中VOCs排放总量指标由中国平煤神马集团蓝天化工股份有限公司中原甲醇厂搬迁消减总量指标中替</w:t>
      </w:r>
      <w:r>
        <w:rPr>
          <w:rFonts w:hint="eastAsia" w:ascii="仿宋" w:hAnsi="仿宋" w:eastAsia="仿宋" w:cs="仿宋"/>
          <w:sz w:val="32"/>
          <w:szCs w:val="32"/>
          <w:lang w:val="en-US" w:eastAsia="zh-CN"/>
        </w:rPr>
        <w:t>代，</w:t>
      </w:r>
      <w:r>
        <w:rPr>
          <w:rFonts w:hint="eastAsia" w:ascii="仿宋" w:hAnsi="仿宋" w:eastAsia="仿宋" w:cs="仿宋"/>
          <w:sz w:val="32"/>
          <w:szCs w:val="32"/>
        </w:rPr>
        <w:t>使项目建设满足区域总量控制指标及“区域增产不增污”的要求。</w:t>
      </w:r>
    </w:p>
    <w:p>
      <w:pPr>
        <w:ind w:firstLine="64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）落实《报告书》环境风险防范措施，制定环境风险应急预案，严防环境污染事故发生。</w:t>
      </w:r>
    </w:p>
    <w:p>
      <w:pPr>
        <w:ind w:firstLine="640"/>
        <w:rPr>
          <w:rFonts w:hint="eastAsia" w:ascii="仿宋" w:hAnsi="仿宋" w:eastAsia="仿宋" w:cs="仿宋"/>
          <w:sz w:val="32"/>
          <w:szCs w:val="32"/>
        </w:rPr>
      </w:pPr>
      <w:r>
        <w:rPr>
          <w:rFonts w:hint="eastAsia" w:ascii="仿宋" w:hAnsi="仿宋" w:eastAsia="仿宋" w:cs="仿宋"/>
          <w:sz w:val="32"/>
          <w:szCs w:val="32"/>
        </w:rPr>
        <w:t>（五）如果今后国家或我省颁布严于本批复污染物排放限值的新标准，届时你单位应按新的排放标准执行。</w:t>
      </w:r>
    </w:p>
    <w:p>
      <w:pPr>
        <w:ind w:firstLine="640"/>
        <w:rPr>
          <w:rFonts w:hint="eastAsia" w:ascii="仿宋" w:hAnsi="仿宋" w:eastAsia="仿宋" w:cs="仿宋"/>
          <w:sz w:val="32"/>
          <w:szCs w:val="32"/>
        </w:rPr>
      </w:pPr>
      <w:r>
        <w:rPr>
          <w:rFonts w:hint="eastAsia" w:ascii="仿宋" w:hAnsi="仿宋" w:eastAsia="仿宋" w:cs="仿宋"/>
          <w:sz w:val="32"/>
          <w:szCs w:val="32"/>
        </w:rPr>
        <w:t>四、本批复有效期为5年。如该项目逾期未开工建设，环境影响报告书应报</w:t>
      </w:r>
      <w:r>
        <w:rPr>
          <w:rFonts w:hint="eastAsia" w:ascii="仿宋" w:hAnsi="仿宋" w:eastAsia="仿宋" w:cs="仿宋"/>
          <w:sz w:val="32"/>
          <w:szCs w:val="32"/>
          <w:lang w:val="en-US" w:eastAsia="zh-CN"/>
        </w:rPr>
        <w:t>驻马店市生态环境局高新区服务办公室</w:t>
      </w:r>
      <w:r>
        <w:rPr>
          <w:rFonts w:hint="eastAsia" w:ascii="仿宋" w:hAnsi="仿宋" w:eastAsia="仿宋" w:cs="仿宋"/>
          <w:sz w:val="32"/>
          <w:szCs w:val="32"/>
        </w:rPr>
        <w:t>重新审核。</w:t>
      </w:r>
    </w:p>
    <w:p>
      <w:pPr>
        <w:rPr>
          <w:rFonts w:hint="eastAsia" w:ascii="仿宋" w:hAnsi="仿宋" w:eastAsia="仿宋" w:cs="仿宋"/>
          <w:sz w:val="32"/>
          <w:szCs w:val="32"/>
        </w:rPr>
      </w:pPr>
    </w:p>
    <w:p>
      <w:pPr>
        <w:ind w:firstLine="5440" w:firstLineChars="17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w:t>
      </w:r>
      <w:bookmarkStart w:id="0" w:name="_GoBack"/>
      <w:bookmarkEnd w:id="0"/>
      <w:r>
        <w:rPr>
          <w:rFonts w:hint="eastAsia" w:ascii="仿宋" w:hAnsi="仿宋" w:eastAsia="仿宋" w:cs="仿宋"/>
          <w:sz w:val="32"/>
          <w:szCs w:val="32"/>
        </w:rPr>
        <w:t>日</w:t>
      </w:r>
    </w:p>
    <w:p>
      <w:pPr>
        <w:ind w:firstLine="5440" w:firstLineChars="1700"/>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rPr>
      </w:pPr>
    </w:p>
    <w:p>
      <w:pPr>
        <w:ind w:firstLine="5440" w:firstLineChars="1700"/>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rPr>
      </w:pPr>
    </w:p>
    <w:p>
      <w:pPr>
        <w:ind w:firstLine="5440" w:firstLineChars="1700"/>
        <w:rPr>
          <w:rFonts w:hint="eastAsia" w:ascii="仿宋" w:hAnsi="仿宋" w:eastAsia="仿宋" w:cs="仿宋"/>
          <w:sz w:val="32"/>
          <w:szCs w:val="32"/>
        </w:rPr>
      </w:pPr>
    </w:p>
    <w:p>
      <w:pPr>
        <w:pStyle w:val="3"/>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rPr>
      </w:pPr>
    </w:p>
    <w:p>
      <w:pPr>
        <w:rPr>
          <w:rFonts w:hint="eastAsia"/>
        </w:rPr>
      </w:pPr>
    </w:p>
    <w:p>
      <w:pPr>
        <w:pStyle w:val="2"/>
        <w:rPr>
          <w:rFonts w:hint="eastAsia"/>
        </w:rPr>
      </w:pPr>
    </w:p>
    <w:p>
      <w:pPr>
        <w:pStyle w:val="3"/>
        <w:rPr>
          <w:rFonts w:hint="eastAsia"/>
        </w:rPr>
      </w:pPr>
    </w:p>
    <w:tbl>
      <w:tblPr>
        <w:tblStyle w:val="11"/>
        <w:tblpPr w:leftFromText="180" w:rightFromText="180" w:vertAnchor="text" w:horzAnchor="page" w:tblpX="1472" w:tblpY="418"/>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7" w:type="dxa"/>
            <w:tcBorders>
              <w:left w:val="nil"/>
              <w:right w:val="nil"/>
            </w:tcBorders>
          </w:tcPr>
          <w:p>
            <w:pPr>
              <w:spacing w:line="520" w:lineRule="exact"/>
              <w:ind w:left="31680" w:hanging="960" w:hangingChars="300"/>
              <w:rPr>
                <w:rFonts w:hint="eastAsia" w:ascii="仿宋" w:hAnsi="仿宋" w:eastAsia="仿宋" w:cs="仿宋"/>
                <w:sz w:val="32"/>
                <w:szCs w:val="32"/>
              </w:rPr>
            </w:pPr>
            <w:r>
              <w:rPr>
                <w:rFonts w:hint="eastAsia" w:ascii="仿宋" w:hAnsi="仿宋" w:eastAsia="仿宋" w:cs="仿宋"/>
                <w:sz w:val="32"/>
                <w:szCs w:val="32"/>
              </w:rPr>
              <w:t>抄送：</w:t>
            </w:r>
            <w:r>
              <w:rPr>
                <w:rFonts w:hint="eastAsia" w:ascii="仿宋" w:hAnsi="仿宋" w:eastAsia="仿宋" w:cs="仿宋"/>
                <w:sz w:val="32"/>
                <w:szCs w:val="32"/>
                <w:lang w:eastAsia="zh-CN"/>
              </w:rPr>
              <w:t>河南诺威环保工程有限公司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7" w:type="dxa"/>
            <w:tcBorders>
              <w:left w:val="nil"/>
              <w:right w:val="nil"/>
            </w:tcBorders>
          </w:tcPr>
          <w:p>
            <w:pPr>
              <w:rPr>
                <w:rFonts w:hint="eastAsia" w:ascii="仿宋" w:hAnsi="仿宋" w:eastAsia="仿宋" w:cs="仿宋"/>
                <w:sz w:val="32"/>
                <w:szCs w:val="32"/>
              </w:rPr>
            </w:pPr>
            <w:r>
              <w:rPr>
                <w:rFonts w:hint="eastAsia" w:ascii="仿宋" w:hAnsi="仿宋" w:eastAsia="仿宋" w:cs="仿宋"/>
                <w:sz w:val="32"/>
                <w:szCs w:val="32"/>
                <w:lang w:val="en-US" w:eastAsia="zh-CN"/>
              </w:rPr>
              <w:t>驻马店市生态环境局</w:t>
            </w:r>
            <w:r>
              <w:rPr>
                <w:rFonts w:hint="eastAsia" w:ascii="仿宋" w:hAnsi="仿宋" w:eastAsia="仿宋" w:cs="仿宋"/>
                <w:sz w:val="32"/>
                <w:szCs w:val="32"/>
                <w:lang w:eastAsia="zh-CN"/>
              </w:rPr>
              <w:t>高新区</w:t>
            </w:r>
            <w:r>
              <w:rPr>
                <w:rFonts w:hint="eastAsia" w:ascii="仿宋" w:hAnsi="仿宋" w:eastAsia="仿宋" w:cs="仿宋"/>
                <w:sz w:val="32"/>
                <w:szCs w:val="32"/>
                <w:lang w:val="en-US" w:eastAsia="zh-CN"/>
              </w:rPr>
              <w:t>服务办公室</w:t>
            </w: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default" w:ascii="仿宋" w:hAnsi="仿宋" w:eastAsia="仿宋" w:cs="仿宋"/>
                <w:sz w:val="32"/>
                <w:szCs w:val="32"/>
                <w:lang w:val="en"/>
              </w:rPr>
              <w:t>4</w:t>
            </w:r>
            <w:r>
              <w:rPr>
                <w:rFonts w:hint="eastAsia" w:ascii="仿宋" w:hAnsi="仿宋" w:eastAsia="仿宋" w:cs="仿宋"/>
                <w:sz w:val="32"/>
                <w:szCs w:val="32"/>
              </w:rPr>
              <w:t>月</w:t>
            </w:r>
            <w:r>
              <w:rPr>
                <w:rFonts w:hint="default" w:ascii="仿宋" w:hAnsi="仿宋" w:eastAsia="仿宋" w:cs="仿宋"/>
                <w:sz w:val="32"/>
                <w:szCs w:val="32"/>
                <w:lang w:val="en"/>
              </w:rPr>
              <w:t>1</w:t>
            </w:r>
            <w:r>
              <w:rPr>
                <w:rFonts w:hint="eastAsia" w:ascii="仿宋" w:hAnsi="仿宋" w:eastAsia="仿宋" w:cs="仿宋"/>
                <w:sz w:val="32"/>
                <w:szCs w:val="32"/>
              </w:rPr>
              <w:t>日印发</w:t>
            </w:r>
          </w:p>
        </w:tc>
      </w:tr>
    </w:tbl>
    <w:p>
      <w:pPr>
        <w:pStyle w:val="3"/>
        <w:rPr>
          <w:rFonts w:hint="eastAsia" w:ascii="仿宋" w:hAnsi="仿宋" w:eastAsia="仿宋" w:cs="仿宋"/>
          <w:sz w:val="32"/>
          <w:szCs w:val="32"/>
        </w:rPr>
      </w:pPr>
    </w:p>
    <w:p>
      <w:pPr>
        <w:rPr>
          <w:rFonts w:hint="eastAsia" w:ascii="仿宋" w:hAnsi="仿宋" w:eastAsia="仿宋" w:cs="仿宋"/>
          <w:sz w:val="32"/>
          <w:szCs w:val="32"/>
        </w:rPr>
      </w:pPr>
    </w:p>
    <w:p>
      <w:pPr>
        <w:pStyle w:val="3"/>
        <w:rPr>
          <w:rFonts w:hint="eastAsia" w:ascii="仿宋" w:hAnsi="仿宋" w:eastAsia="仿宋" w:cs="仿宋"/>
          <w:sz w:val="32"/>
          <w:szCs w:val="32"/>
        </w:rPr>
      </w:pPr>
    </w:p>
    <w:p>
      <w:pPr>
        <w:rPr>
          <w:rFonts w:hint="eastAsia"/>
        </w:rPr>
      </w:pPr>
    </w:p>
    <w:p>
      <w:pPr>
        <w:rPr>
          <w:rFonts w:ascii="新宋体" w:hAnsi="新宋体" w:eastAsia="新宋体"/>
          <w:sz w:val="32"/>
          <w:szCs w:val="32"/>
        </w:rPr>
      </w:pPr>
    </w:p>
    <w:p>
      <w:pPr>
        <w:pStyle w:val="3"/>
        <w:rPr>
          <w:rFonts w:ascii="新宋体" w:hAnsi="新宋体" w:eastAsia="新宋体"/>
          <w:sz w:val="32"/>
          <w:szCs w:val="32"/>
        </w:rPr>
      </w:pPr>
    </w:p>
    <w:p>
      <w:pPr>
        <w:rPr>
          <w:rFonts w:ascii="新宋体" w:hAnsi="新宋体" w:eastAsia="新宋体"/>
          <w:sz w:val="32"/>
          <w:szCs w:val="32"/>
        </w:rPr>
      </w:pPr>
    </w:p>
    <w:p>
      <w:pPr>
        <w:pStyle w:val="3"/>
      </w:pPr>
    </w:p>
    <w:sectPr>
      <w:headerReference r:id="rId3" w:type="default"/>
      <w:footerReference r:id="rId4" w:type="default"/>
      <w:footerReference r:id="rId5" w:type="even"/>
      <w:pgSz w:w="11906" w:h="16838"/>
      <w:pgMar w:top="1440" w:right="1531" w:bottom="1417" w:left="164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2"/>
    <w:family w:val="auto"/>
    <w:pitch w:val="default"/>
    <w:sig w:usb0="00000000" w:usb1="00000000" w:usb2="00000009" w:usb3="00000000" w:csb0="400001FF" w:csb1="FFFF0000"/>
  </w:font>
  <w:font w:name="宋体">
    <w:altName w:val="方正书宋_GBK"/>
    <w:panose1 w:val="02010600030101010101"/>
    <w:charset w:val="B1"/>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4</w:t>
    </w:r>
    <w:r>
      <w:rPr>
        <w:rStyle w:val="13"/>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NzhkNmNmNDdjNGIzNzViMjUxYzIzODQwN2Q3MWMifQ=="/>
  </w:docVars>
  <w:rsids>
    <w:rsidRoot w:val="00172A27"/>
    <w:rsid w:val="00000A8D"/>
    <w:rsid w:val="00012BD6"/>
    <w:rsid w:val="000205A0"/>
    <w:rsid w:val="00030DA3"/>
    <w:rsid w:val="00053837"/>
    <w:rsid w:val="00070860"/>
    <w:rsid w:val="00073BD0"/>
    <w:rsid w:val="00080670"/>
    <w:rsid w:val="0008579E"/>
    <w:rsid w:val="00092D45"/>
    <w:rsid w:val="000A268D"/>
    <w:rsid w:val="000A34EC"/>
    <w:rsid w:val="000A43CD"/>
    <w:rsid w:val="000B3F9E"/>
    <w:rsid w:val="000C2853"/>
    <w:rsid w:val="000C543D"/>
    <w:rsid w:val="000D59E3"/>
    <w:rsid w:val="000E77B3"/>
    <w:rsid w:val="000F2011"/>
    <w:rsid w:val="000F77CF"/>
    <w:rsid w:val="00106632"/>
    <w:rsid w:val="00136967"/>
    <w:rsid w:val="00146495"/>
    <w:rsid w:val="00161725"/>
    <w:rsid w:val="001641FD"/>
    <w:rsid w:val="00172A27"/>
    <w:rsid w:val="00185B04"/>
    <w:rsid w:val="001959E4"/>
    <w:rsid w:val="001A186E"/>
    <w:rsid w:val="001E1C12"/>
    <w:rsid w:val="00214941"/>
    <w:rsid w:val="002479F4"/>
    <w:rsid w:val="00266754"/>
    <w:rsid w:val="0028337E"/>
    <w:rsid w:val="002E0233"/>
    <w:rsid w:val="002E7D30"/>
    <w:rsid w:val="002F5461"/>
    <w:rsid w:val="003225FC"/>
    <w:rsid w:val="00332915"/>
    <w:rsid w:val="00337E39"/>
    <w:rsid w:val="00341480"/>
    <w:rsid w:val="003614C6"/>
    <w:rsid w:val="003621E7"/>
    <w:rsid w:val="0036745A"/>
    <w:rsid w:val="0037271B"/>
    <w:rsid w:val="003B15FA"/>
    <w:rsid w:val="00407E00"/>
    <w:rsid w:val="004115BB"/>
    <w:rsid w:val="00447936"/>
    <w:rsid w:val="004909F2"/>
    <w:rsid w:val="0049319C"/>
    <w:rsid w:val="004B6EBF"/>
    <w:rsid w:val="004C378F"/>
    <w:rsid w:val="004E3885"/>
    <w:rsid w:val="004E4E12"/>
    <w:rsid w:val="00525049"/>
    <w:rsid w:val="005436AC"/>
    <w:rsid w:val="00553A33"/>
    <w:rsid w:val="00553FAD"/>
    <w:rsid w:val="005703EA"/>
    <w:rsid w:val="0058463F"/>
    <w:rsid w:val="00591A6F"/>
    <w:rsid w:val="005A5351"/>
    <w:rsid w:val="005B3C8C"/>
    <w:rsid w:val="005B46F7"/>
    <w:rsid w:val="005B5187"/>
    <w:rsid w:val="005B6B08"/>
    <w:rsid w:val="005C4C15"/>
    <w:rsid w:val="005D05DE"/>
    <w:rsid w:val="005D1F97"/>
    <w:rsid w:val="005F4A82"/>
    <w:rsid w:val="00603A98"/>
    <w:rsid w:val="006336F7"/>
    <w:rsid w:val="006362DE"/>
    <w:rsid w:val="00640198"/>
    <w:rsid w:val="00653608"/>
    <w:rsid w:val="006536E6"/>
    <w:rsid w:val="00663095"/>
    <w:rsid w:val="0068485D"/>
    <w:rsid w:val="006873F8"/>
    <w:rsid w:val="006A7722"/>
    <w:rsid w:val="006B5786"/>
    <w:rsid w:val="006B6EB4"/>
    <w:rsid w:val="006B6F55"/>
    <w:rsid w:val="006C302C"/>
    <w:rsid w:val="006C3650"/>
    <w:rsid w:val="006F10D7"/>
    <w:rsid w:val="006F389A"/>
    <w:rsid w:val="006F5100"/>
    <w:rsid w:val="0070068E"/>
    <w:rsid w:val="00717F98"/>
    <w:rsid w:val="00721031"/>
    <w:rsid w:val="007316F1"/>
    <w:rsid w:val="00780B0D"/>
    <w:rsid w:val="00792771"/>
    <w:rsid w:val="00792975"/>
    <w:rsid w:val="00796ED4"/>
    <w:rsid w:val="007A2FFD"/>
    <w:rsid w:val="007A4865"/>
    <w:rsid w:val="007B4315"/>
    <w:rsid w:val="007C5105"/>
    <w:rsid w:val="007E1FA5"/>
    <w:rsid w:val="007F14AC"/>
    <w:rsid w:val="007F6D34"/>
    <w:rsid w:val="007F766B"/>
    <w:rsid w:val="008012D6"/>
    <w:rsid w:val="00811654"/>
    <w:rsid w:val="008139EC"/>
    <w:rsid w:val="00831D8C"/>
    <w:rsid w:val="00832725"/>
    <w:rsid w:val="00832BA2"/>
    <w:rsid w:val="00862872"/>
    <w:rsid w:val="00877D2D"/>
    <w:rsid w:val="008836CD"/>
    <w:rsid w:val="008A51A2"/>
    <w:rsid w:val="008B239D"/>
    <w:rsid w:val="008C4A67"/>
    <w:rsid w:val="008D03CE"/>
    <w:rsid w:val="008F4228"/>
    <w:rsid w:val="008F7DBB"/>
    <w:rsid w:val="00946145"/>
    <w:rsid w:val="00967140"/>
    <w:rsid w:val="00974EB8"/>
    <w:rsid w:val="009A4634"/>
    <w:rsid w:val="009B4BDC"/>
    <w:rsid w:val="009C6054"/>
    <w:rsid w:val="009D3892"/>
    <w:rsid w:val="009E01F5"/>
    <w:rsid w:val="00A00DBC"/>
    <w:rsid w:val="00A051D7"/>
    <w:rsid w:val="00A11B5E"/>
    <w:rsid w:val="00A12114"/>
    <w:rsid w:val="00A16602"/>
    <w:rsid w:val="00A3420C"/>
    <w:rsid w:val="00A34275"/>
    <w:rsid w:val="00A504D5"/>
    <w:rsid w:val="00A52675"/>
    <w:rsid w:val="00A63E45"/>
    <w:rsid w:val="00A83C53"/>
    <w:rsid w:val="00A94063"/>
    <w:rsid w:val="00A95227"/>
    <w:rsid w:val="00AA404B"/>
    <w:rsid w:val="00AA6994"/>
    <w:rsid w:val="00AC559B"/>
    <w:rsid w:val="00AD08AC"/>
    <w:rsid w:val="00AF0876"/>
    <w:rsid w:val="00B052E1"/>
    <w:rsid w:val="00B06872"/>
    <w:rsid w:val="00B07435"/>
    <w:rsid w:val="00B11D87"/>
    <w:rsid w:val="00B16A52"/>
    <w:rsid w:val="00B22FB2"/>
    <w:rsid w:val="00B40427"/>
    <w:rsid w:val="00B54562"/>
    <w:rsid w:val="00B56474"/>
    <w:rsid w:val="00B81854"/>
    <w:rsid w:val="00BA5BB7"/>
    <w:rsid w:val="00BB6BA3"/>
    <w:rsid w:val="00BC5E61"/>
    <w:rsid w:val="00C03D43"/>
    <w:rsid w:val="00C1532E"/>
    <w:rsid w:val="00C26E3C"/>
    <w:rsid w:val="00C52D4B"/>
    <w:rsid w:val="00C72BE2"/>
    <w:rsid w:val="00C732D5"/>
    <w:rsid w:val="00C91305"/>
    <w:rsid w:val="00C96A6E"/>
    <w:rsid w:val="00CA1F62"/>
    <w:rsid w:val="00CA3361"/>
    <w:rsid w:val="00CA58A3"/>
    <w:rsid w:val="00CB27CD"/>
    <w:rsid w:val="00CC441E"/>
    <w:rsid w:val="00CC4C50"/>
    <w:rsid w:val="00CC52A2"/>
    <w:rsid w:val="00CD511B"/>
    <w:rsid w:val="00CE0427"/>
    <w:rsid w:val="00CE7BBF"/>
    <w:rsid w:val="00CF22B7"/>
    <w:rsid w:val="00D01E3C"/>
    <w:rsid w:val="00D12AAD"/>
    <w:rsid w:val="00D3080E"/>
    <w:rsid w:val="00D80F54"/>
    <w:rsid w:val="00D855AD"/>
    <w:rsid w:val="00DB2F20"/>
    <w:rsid w:val="00DB6EC5"/>
    <w:rsid w:val="00DB7242"/>
    <w:rsid w:val="00DD7564"/>
    <w:rsid w:val="00DE2263"/>
    <w:rsid w:val="00DF0174"/>
    <w:rsid w:val="00DF6FA9"/>
    <w:rsid w:val="00E021A7"/>
    <w:rsid w:val="00E222EA"/>
    <w:rsid w:val="00E328A9"/>
    <w:rsid w:val="00E44257"/>
    <w:rsid w:val="00EA1561"/>
    <w:rsid w:val="00ED1B9D"/>
    <w:rsid w:val="00ED296C"/>
    <w:rsid w:val="00F00964"/>
    <w:rsid w:val="00F05B66"/>
    <w:rsid w:val="00F14690"/>
    <w:rsid w:val="00F20EAF"/>
    <w:rsid w:val="00F4330B"/>
    <w:rsid w:val="00F47468"/>
    <w:rsid w:val="00F619DA"/>
    <w:rsid w:val="00F70ABC"/>
    <w:rsid w:val="00F92885"/>
    <w:rsid w:val="00FE0871"/>
    <w:rsid w:val="00FE6B50"/>
    <w:rsid w:val="00FF00EF"/>
    <w:rsid w:val="01D9025C"/>
    <w:rsid w:val="02311D69"/>
    <w:rsid w:val="02531C3E"/>
    <w:rsid w:val="02C562AE"/>
    <w:rsid w:val="02FF2DB1"/>
    <w:rsid w:val="030B47EA"/>
    <w:rsid w:val="03BF7325"/>
    <w:rsid w:val="042159F2"/>
    <w:rsid w:val="051242AD"/>
    <w:rsid w:val="053132D3"/>
    <w:rsid w:val="054A5A02"/>
    <w:rsid w:val="057E66AD"/>
    <w:rsid w:val="06B76B5E"/>
    <w:rsid w:val="07834FAC"/>
    <w:rsid w:val="07EA75CE"/>
    <w:rsid w:val="07F32006"/>
    <w:rsid w:val="08400AF8"/>
    <w:rsid w:val="087736A8"/>
    <w:rsid w:val="090C4E18"/>
    <w:rsid w:val="0A8D4795"/>
    <w:rsid w:val="0AAB78C3"/>
    <w:rsid w:val="0B5605CC"/>
    <w:rsid w:val="0C8A012E"/>
    <w:rsid w:val="0C8E0B2C"/>
    <w:rsid w:val="0CB35CD6"/>
    <w:rsid w:val="0D3A604C"/>
    <w:rsid w:val="0D725B91"/>
    <w:rsid w:val="0D7F514F"/>
    <w:rsid w:val="0E1D4C30"/>
    <w:rsid w:val="0F4E5500"/>
    <w:rsid w:val="0F6D2BF1"/>
    <w:rsid w:val="0FB8072A"/>
    <w:rsid w:val="0FDB2586"/>
    <w:rsid w:val="0FEF54F2"/>
    <w:rsid w:val="101626AB"/>
    <w:rsid w:val="11A87882"/>
    <w:rsid w:val="11BD2469"/>
    <w:rsid w:val="11D84527"/>
    <w:rsid w:val="11F51C31"/>
    <w:rsid w:val="12691A01"/>
    <w:rsid w:val="12BC340B"/>
    <w:rsid w:val="13235C2C"/>
    <w:rsid w:val="13E05B57"/>
    <w:rsid w:val="1570446D"/>
    <w:rsid w:val="15982CE0"/>
    <w:rsid w:val="161B669A"/>
    <w:rsid w:val="165A5C05"/>
    <w:rsid w:val="167F131F"/>
    <w:rsid w:val="168C5D59"/>
    <w:rsid w:val="169E6590"/>
    <w:rsid w:val="17FF592D"/>
    <w:rsid w:val="19476284"/>
    <w:rsid w:val="19801D7F"/>
    <w:rsid w:val="19A10525"/>
    <w:rsid w:val="19E67CD9"/>
    <w:rsid w:val="1B0314E2"/>
    <w:rsid w:val="1B46304A"/>
    <w:rsid w:val="1B6314F7"/>
    <w:rsid w:val="1B8F478A"/>
    <w:rsid w:val="1BAE08EA"/>
    <w:rsid w:val="1BCA303C"/>
    <w:rsid w:val="1BE32229"/>
    <w:rsid w:val="1F3500F4"/>
    <w:rsid w:val="1FA37E2C"/>
    <w:rsid w:val="20700A5B"/>
    <w:rsid w:val="2080016D"/>
    <w:rsid w:val="21052421"/>
    <w:rsid w:val="215313DE"/>
    <w:rsid w:val="21790678"/>
    <w:rsid w:val="22BB6DD0"/>
    <w:rsid w:val="2321616B"/>
    <w:rsid w:val="23307E05"/>
    <w:rsid w:val="239301B8"/>
    <w:rsid w:val="24B34341"/>
    <w:rsid w:val="25545C47"/>
    <w:rsid w:val="26AD1590"/>
    <w:rsid w:val="277669B6"/>
    <w:rsid w:val="27DA06D7"/>
    <w:rsid w:val="28CF3513"/>
    <w:rsid w:val="29246B6E"/>
    <w:rsid w:val="29437F8A"/>
    <w:rsid w:val="29B30355"/>
    <w:rsid w:val="29C73E27"/>
    <w:rsid w:val="29CA12A4"/>
    <w:rsid w:val="2A3F0EF2"/>
    <w:rsid w:val="2A7D0CCA"/>
    <w:rsid w:val="2B954CFA"/>
    <w:rsid w:val="2C284CB5"/>
    <w:rsid w:val="2CE005FE"/>
    <w:rsid w:val="2D2C511E"/>
    <w:rsid w:val="2D7A0539"/>
    <w:rsid w:val="2E665F0B"/>
    <w:rsid w:val="2E6E5AA9"/>
    <w:rsid w:val="2EBD29C2"/>
    <w:rsid w:val="2EC568BD"/>
    <w:rsid w:val="2EF22236"/>
    <w:rsid w:val="2F452DA6"/>
    <w:rsid w:val="2F5A2153"/>
    <w:rsid w:val="2F6F5FF2"/>
    <w:rsid w:val="2FFB0DE7"/>
    <w:rsid w:val="300A15D1"/>
    <w:rsid w:val="302D5B2B"/>
    <w:rsid w:val="303865F1"/>
    <w:rsid w:val="30755827"/>
    <w:rsid w:val="309D364C"/>
    <w:rsid w:val="310C4364"/>
    <w:rsid w:val="314040C5"/>
    <w:rsid w:val="31C448B0"/>
    <w:rsid w:val="32931F82"/>
    <w:rsid w:val="32E66CE0"/>
    <w:rsid w:val="3316789A"/>
    <w:rsid w:val="332F7DEE"/>
    <w:rsid w:val="33687D77"/>
    <w:rsid w:val="33745910"/>
    <w:rsid w:val="34925D33"/>
    <w:rsid w:val="35601568"/>
    <w:rsid w:val="359B4A46"/>
    <w:rsid w:val="35EC1F46"/>
    <w:rsid w:val="35FD0EFF"/>
    <w:rsid w:val="3650007A"/>
    <w:rsid w:val="36F90814"/>
    <w:rsid w:val="370B2673"/>
    <w:rsid w:val="38AC295A"/>
    <w:rsid w:val="38FF0665"/>
    <w:rsid w:val="39657AA9"/>
    <w:rsid w:val="3A25616B"/>
    <w:rsid w:val="3A5E56D8"/>
    <w:rsid w:val="3ACF6307"/>
    <w:rsid w:val="3B875568"/>
    <w:rsid w:val="3C0913B4"/>
    <w:rsid w:val="3C940DD1"/>
    <w:rsid w:val="3D890EFC"/>
    <w:rsid w:val="3DFB3E26"/>
    <w:rsid w:val="3DFD6502"/>
    <w:rsid w:val="3E0064FA"/>
    <w:rsid w:val="3E88226F"/>
    <w:rsid w:val="402B55A8"/>
    <w:rsid w:val="40305D16"/>
    <w:rsid w:val="40655C4B"/>
    <w:rsid w:val="41BF6B0A"/>
    <w:rsid w:val="42914492"/>
    <w:rsid w:val="42955FC0"/>
    <w:rsid w:val="42A3669A"/>
    <w:rsid w:val="431D3EE0"/>
    <w:rsid w:val="4387343D"/>
    <w:rsid w:val="44A65825"/>
    <w:rsid w:val="44D460B8"/>
    <w:rsid w:val="456B3E1F"/>
    <w:rsid w:val="457A1D57"/>
    <w:rsid w:val="45F36B68"/>
    <w:rsid w:val="469A12AA"/>
    <w:rsid w:val="47415D88"/>
    <w:rsid w:val="47BD77BD"/>
    <w:rsid w:val="48B10EC1"/>
    <w:rsid w:val="490E1CC5"/>
    <w:rsid w:val="4982696D"/>
    <w:rsid w:val="4A0F6614"/>
    <w:rsid w:val="4A183041"/>
    <w:rsid w:val="4A282E8B"/>
    <w:rsid w:val="4A4C4A99"/>
    <w:rsid w:val="4A911945"/>
    <w:rsid w:val="4AAD2527"/>
    <w:rsid w:val="4B985ABC"/>
    <w:rsid w:val="4BCA64F7"/>
    <w:rsid w:val="4C614945"/>
    <w:rsid w:val="4C6B7155"/>
    <w:rsid w:val="4E386D05"/>
    <w:rsid w:val="4E5C5F7B"/>
    <w:rsid w:val="4E977062"/>
    <w:rsid w:val="4FC155E1"/>
    <w:rsid w:val="50431A09"/>
    <w:rsid w:val="50AE0375"/>
    <w:rsid w:val="516052CE"/>
    <w:rsid w:val="518965D2"/>
    <w:rsid w:val="519336B5"/>
    <w:rsid w:val="520D0FB1"/>
    <w:rsid w:val="5382152B"/>
    <w:rsid w:val="539F55B3"/>
    <w:rsid w:val="53C8345D"/>
    <w:rsid w:val="53CD00B0"/>
    <w:rsid w:val="53E174E0"/>
    <w:rsid w:val="54684D6A"/>
    <w:rsid w:val="556D795A"/>
    <w:rsid w:val="55833ADE"/>
    <w:rsid w:val="560E70A6"/>
    <w:rsid w:val="5671606C"/>
    <w:rsid w:val="56A13FAA"/>
    <w:rsid w:val="57170FC5"/>
    <w:rsid w:val="571E6652"/>
    <w:rsid w:val="57682216"/>
    <w:rsid w:val="57D170E7"/>
    <w:rsid w:val="581B3F9A"/>
    <w:rsid w:val="595C59C8"/>
    <w:rsid w:val="5980650D"/>
    <w:rsid w:val="59934492"/>
    <w:rsid w:val="5BCE7A03"/>
    <w:rsid w:val="5C166E48"/>
    <w:rsid w:val="5D4B76C4"/>
    <w:rsid w:val="5DAA012A"/>
    <w:rsid w:val="5DE82A8F"/>
    <w:rsid w:val="5EF54D8F"/>
    <w:rsid w:val="5F557AF4"/>
    <w:rsid w:val="604A517F"/>
    <w:rsid w:val="60C915BD"/>
    <w:rsid w:val="60D65CCE"/>
    <w:rsid w:val="614C1E09"/>
    <w:rsid w:val="618F7629"/>
    <w:rsid w:val="61CC7230"/>
    <w:rsid w:val="61FD772E"/>
    <w:rsid w:val="6238595D"/>
    <w:rsid w:val="62B42F10"/>
    <w:rsid w:val="631A352E"/>
    <w:rsid w:val="63300AD6"/>
    <w:rsid w:val="634A37EB"/>
    <w:rsid w:val="64634A61"/>
    <w:rsid w:val="650411AA"/>
    <w:rsid w:val="664B29B0"/>
    <w:rsid w:val="667C7F51"/>
    <w:rsid w:val="674C5F8A"/>
    <w:rsid w:val="683C4A6F"/>
    <w:rsid w:val="689329A4"/>
    <w:rsid w:val="698A51EC"/>
    <w:rsid w:val="69D43B0E"/>
    <w:rsid w:val="6A63737B"/>
    <w:rsid w:val="6AB64182"/>
    <w:rsid w:val="6B1C1B7A"/>
    <w:rsid w:val="6B9D33B5"/>
    <w:rsid w:val="6BF83649"/>
    <w:rsid w:val="6CA63B24"/>
    <w:rsid w:val="6D3E3303"/>
    <w:rsid w:val="6D837F22"/>
    <w:rsid w:val="6E090F75"/>
    <w:rsid w:val="6E3D06CE"/>
    <w:rsid w:val="6E660741"/>
    <w:rsid w:val="6EE0585D"/>
    <w:rsid w:val="6EFC0C16"/>
    <w:rsid w:val="6F161B81"/>
    <w:rsid w:val="6FAB1D51"/>
    <w:rsid w:val="713F1F99"/>
    <w:rsid w:val="7204386B"/>
    <w:rsid w:val="723E3BD3"/>
    <w:rsid w:val="729B6821"/>
    <w:rsid w:val="72E15E16"/>
    <w:rsid w:val="74005421"/>
    <w:rsid w:val="744C5512"/>
    <w:rsid w:val="75342BD4"/>
    <w:rsid w:val="762D3CCB"/>
    <w:rsid w:val="766B0B40"/>
    <w:rsid w:val="78E47BC8"/>
    <w:rsid w:val="7A036410"/>
    <w:rsid w:val="7A395308"/>
    <w:rsid w:val="7A3C7F20"/>
    <w:rsid w:val="7A4C308D"/>
    <w:rsid w:val="7B0F54EB"/>
    <w:rsid w:val="7B226FCC"/>
    <w:rsid w:val="7B3536EB"/>
    <w:rsid w:val="7B7A2964"/>
    <w:rsid w:val="7B826203"/>
    <w:rsid w:val="7CF14BAE"/>
    <w:rsid w:val="7D044B51"/>
    <w:rsid w:val="7D977722"/>
    <w:rsid w:val="7E513305"/>
    <w:rsid w:val="7EE1432D"/>
    <w:rsid w:val="7F211349"/>
    <w:rsid w:val="7F231565"/>
    <w:rsid w:val="7F7C65C3"/>
    <w:rsid w:val="7F8518D8"/>
    <w:rsid w:val="7FE217F4"/>
    <w:rsid w:val="DEF66D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12">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ind w:firstLine="560" w:firstLineChars="200"/>
    </w:pPr>
  </w:style>
  <w:style w:type="paragraph" w:styleId="3">
    <w:name w:val="Body Text First Indent 2"/>
    <w:basedOn w:val="4"/>
    <w:next w:val="1"/>
    <w:qFormat/>
    <w:uiPriority w:val="0"/>
    <w:pPr>
      <w:ind w:firstLine="420" w:firstLineChars="200"/>
    </w:pPr>
  </w:style>
  <w:style w:type="paragraph" w:styleId="4">
    <w:name w:val="Body Text Indent"/>
    <w:basedOn w:val="1"/>
    <w:next w:val="2"/>
    <w:qFormat/>
    <w:uiPriority w:val="0"/>
    <w:pPr>
      <w:spacing w:after="120"/>
      <w:ind w:left="420" w:leftChars="200"/>
    </w:pPr>
  </w:style>
  <w:style w:type="paragraph" w:styleId="6">
    <w:name w:val="toa heading"/>
    <w:basedOn w:val="1"/>
    <w:next w:val="1"/>
    <w:qFormat/>
    <w:uiPriority w:val="0"/>
    <w:pPr>
      <w:spacing w:before="120" w:after="120" w:line="360" w:lineRule="auto"/>
      <w:ind w:firstLine="200" w:firstLineChars="200"/>
      <w:jc w:val="left"/>
    </w:pPr>
    <w:rPr>
      <w:sz w:val="24"/>
      <w:u w:val="single"/>
    </w:rPr>
  </w:style>
  <w:style w:type="paragraph" w:styleId="7">
    <w:name w:val="Balloon Text"/>
    <w:basedOn w:val="1"/>
    <w:link w:val="15"/>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page number"/>
    <w:basedOn w:val="12"/>
    <w:qFormat/>
    <w:uiPriority w:val="99"/>
    <w:rPr>
      <w:rFonts w:cs="Times New Roman"/>
    </w:rPr>
  </w:style>
  <w:style w:type="character" w:styleId="14">
    <w:name w:val="FollowedHyperlink"/>
    <w:basedOn w:val="12"/>
    <w:qFormat/>
    <w:uiPriority w:val="99"/>
    <w:rPr>
      <w:rFonts w:cs="Times New Roman"/>
      <w:color w:val="000000"/>
      <w:u w:val="none"/>
    </w:rPr>
  </w:style>
  <w:style w:type="character" w:customStyle="1" w:styleId="15">
    <w:name w:val="Balloon Text Char"/>
    <w:basedOn w:val="12"/>
    <w:link w:val="7"/>
    <w:semiHidden/>
    <w:qFormat/>
    <w:uiPriority w:val="99"/>
    <w:rPr>
      <w:sz w:val="0"/>
      <w:szCs w:val="0"/>
    </w:rPr>
  </w:style>
  <w:style w:type="character" w:customStyle="1" w:styleId="16">
    <w:name w:val="Footer Char"/>
    <w:basedOn w:val="12"/>
    <w:link w:val="8"/>
    <w:semiHidden/>
    <w:qFormat/>
    <w:uiPriority w:val="99"/>
    <w:rPr>
      <w:sz w:val="18"/>
      <w:szCs w:val="18"/>
    </w:rPr>
  </w:style>
  <w:style w:type="character" w:customStyle="1" w:styleId="17">
    <w:name w:val="Header Char"/>
    <w:basedOn w:val="12"/>
    <w:link w:val="9"/>
    <w:semiHidden/>
    <w:qFormat/>
    <w:uiPriority w:val="99"/>
    <w:rPr>
      <w:sz w:val="18"/>
      <w:szCs w:val="18"/>
    </w:rPr>
  </w:style>
  <w:style w:type="character" w:customStyle="1" w:styleId="18">
    <w:name w:val="moduletitle_menuitemsel"/>
    <w:basedOn w:val="12"/>
    <w:qFormat/>
    <w:uiPriority w:val="99"/>
    <w:rPr>
      <w:rFonts w:ascii="Tahoma" w:hAnsi="Tahoma" w:eastAsia="Times New Roman" w:cs="Tahoma"/>
      <w:b/>
      <w:color w:val="000000"/>
      <w:sz w:val="18"/>
      <w:szCs w:val="18"/>
    </w:rPr>
  </w:style>
  <w:style w:type="character" w:customStyle="1" w:styleId="19">
    <w:name w:val="language"/>
    <w:basedOn w:val="12"/>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1625</Words>
  <Characters>1837</Characters>
  <Lines>0</Lines>
  <Paragraphs>0</Paragraphs>
  <TotalTime>3</TotalTime>
  <ScaleCrop>false</ScaleCrop>
  <LinksUpToDate>false</LinksUpToDate>
  <CharactersWithSpaces>1857</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2017-03-31T06:50:00Z</dcterms:created>
  <dc:creator>微软用户</dc:creator>
  <cp:lastModifiedBy>greatwall</cp:lastModifiedBy>
  <cp:lastPrinted>2023-04-01T03:06:00Z</cp:lastPrinted>
  <dcterms:modified xsi:type="dcterms:W3CDTF">2024-04-02T10:46:30Z</dcterms:modified>
  <dc:title>驻环审〔2010〕6号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18FAB7A05D8D44E1B6DF2AEC6F79D5A4_13</vt:lpwstr>
  </property>
</Properties>
</file>